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SCHEDULE 14A</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INFORMATION REQUIRED IN PROXY STATEMENT</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SCHEDULE 14A INFORMATION</w:t>
      </w:r>
    </w:p>
    <w:p>
      <w:pPr>
        <w:spacing w:after="0" w:line="22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Proxy Statement Pursuant to Section 14(a) of the Securities Exchange Act of 1934</w:t>
      </w:r>
    </w:p>
    <w:p>
      <w:pPr>
        <w:spacing w:after="0" w:line="225" w:lineRule="exact"/>
        <w:rPr>
          <w:sz w:val="24"/>
          <w:szCs w:val="24"/>
          <w:color w:val="auto"/>
        </w:rPr>
      </w:pPr>
    </w:p>
    <w:p>
      <w:pPr>
        <w:ind w:left="460" w:hanging="452"/>
        <w:spacing w:after="0"/>
        <w:tabs>
          <w:tab w:leader="none" w:pos="4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Filed by the Registrant</w:t>
      </w:r>
    </w:p>
    <w:p>
      <w:pPr>
        <w:spacing w:after="0" w:line="225" w:lineRule="exact"/>
        <w:rPr>
          <w:sz w:val="24"/>
          <w:szCs w:val="24"/>
          <w:color w:val="auto"/>
        </w:rPr>
      </w:pPr>
    </w:p>
    <w:p>
      <w:pPr>
        <w:ind w:right="7800" w:firstLine="8"/>
        <w:spacing w:after="0" w:line="477" w:lineRule="auto"/>
        <w:tabs>
          <w:tab w:leader="none" w:pos="459"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Filed by a Party other than the Registrant Check the appropriate box:</w:t>
      </w:r>
    </w:p>
    <w:p>
      <w:pPr>
        <w:spacing w:after="0" w:line="41" w:lineRule="exact"/>
        <w:rPr>
          <w:rFonts w:ascii="MS PGothic" w:cs="MS PGothic" w:eastAsia="MS PGothic" w:hAnsi="MS PGothic"/>
          <w:sz w:val="18"/>
          <w:szCs w:val="18"/>
          <w:color w:val="auto"/>
        </w:rPr>
      </w:pPr>
    </w:p>
    <w:p>
      <w:pPr>
        <w:ind w:left="460" w:hanging="452"/>
        <w:spacing w:after="0"/>
        <w:tabs>
          <w:tab w:leader="none" w:pos="460"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Preliminary Proxy Statement</w:t>
      </w:r>
    </w:p>
    <w:p>
      <w:pPr>
        <w:spacing w:after="0" w:line="221" w:lineRule="exact"/>
        <w:rPr>
          <w:rFonts w:ascii="MS PGothic" w:cs="MS PGothic" w:eastAsia="MS PGothic" w:hAnsi="MS PGothic"/>
          <w:sz w:val="18"/>
          <w:szCs w:val="18"/>
          <w:color w:val="auto"/>
        </w:rPr>
      </w:pPr>
    </w:p>
    <w:p>
      <w:pPr>
        <w:ind w:left="460" w:hanging="452"/>
        <w:spacing w:after="0"/>
        <w:tabs>
          <w:tab w:leader="none" w:pos="460"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Confidential, for Use of the Commission Only (as permitted by Rule 14a-6(e)(2))</w:t>
      </w:r>
    </w:p>
    <w:p>
      <w:pPr>
        <w:spacing w:after="0" w:line="229" w:lineRule="exact"/>
        <w:rPr>
          <w:sz w:val="24"/>
          <w:szCs w:val="24"/>
          <w:color w:val="auto"/>
        </w:rPr>
      </w:pPr>
    </w:p>
    <w:p>
      <w:pPr>
        <w:ind w:left="460" w:hanging="452"/>
        <w:spacing w:after="0"/>
        <w:tabs>
          <w:tab w:leader="none" w:pos="460" w:val="left"/>
        </w:tabs>
        <w:numPr>
          <w:ilvl w:val="0"/>
          <w:numId w:val="3"/>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Definitive Proxy Statement</w:t>
      </w:r>
    </w:p>
    <w:p>
      <w:pPr>
        <w:spacing w:after="0" w:line="225" w:lineRule="exact"/>
        <w:rPr>
          <w:sz w:val="24"/>
          <w:szCs w:val="24"/>
          <w:color w:val="auto"/>
        </w:rPr>
      </w:pPr>
    </w:p>
    <w:p>
      <w:pPr>
        <w:ind w:left="460" w:hanging="452"/>
        <w:spacing w:after="0"/>
        <w:tabs>
          <w:tab w:leader="none" w:pos="460" w:val="left"/>
        </w:tabs>
        <w:numPr>
          <w:ilvl w:val="0"/>
          <w:numId w:val="4"/>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Definitive Additional Materials</w:t>
      </w:r>
    </w:p>
    <w:p>
      <w:pPr>
        <w:spacing w:after="0" w:line="225" w:lineRule="exact"/>
        <w:rPr>
          <w:rFonts w:ascii="MS PGothic" w:cs="MS PGothic" w:eastAsia="MS PGothic" w:hAnsi="MS PGothic"/>
          <w:sz w:val="18"/>
          <w:szCs w:val="18"/>
          <w:color w:val="auto"/>
        </w:rPr>
      </w:pPr>
    </w:p>
    <w:p>
      <w:pPr>
        <w:ind w:left="460" w:hanging="452"/>
        <w:spacing w:after="0"/>
        <w:tabs>
          <w:tab w:leader="none" w:pos="460" w:val="left"/>
        </w:tabs>
        <w:numPr>
          <w:ilvl w:val="0"/>
          <w:numId w:val="4"/>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§240.14a-12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1753870</wp:posOffset>
            </wp:positionH>
            <wp:positionV relativeFrom="paragraph">
              <wp:posOffset>154305</wp:posOffset>
            </wp:positionV>
            <wp:extent cx="3642995" cy="8661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642995" cy="8661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u w:val="single" w:color="auto"/>
          <w:color w:val="auto"/>
        </w:rPr>
        <w:t>NOCERA, INC.</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(Name of Registrant as Specified In Its Charter)</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u w:val="single" w:color="auto"/>
          <w:color w:val="auto"/>
        </w:rPr>
        <w:t>N/A</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(Name of Person(s) Filing Proxy Statement, if other than the Registrant)</w:t>
      </w:r>
    </w:p>
    <w:p>
      <w:pPr>
        <w:spacing w:after="0" w:line="200" w:lineRule="exact"/>
        <w:rPr>
          <w:sz w:val="24"/>
          <w:szCs w:val="24"/>
          <w:color w:val="auto"/>
        </w:rPr>
      </w:pPr>
    </w:p>
    <w:p>
      <w:pPr>
        <w:spacing w:after="0" w:line="22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Payment of Filing Fee (Check the appropriate box):</w:t>
      </w:r>
    </w:p>
    <w:p>
      <w:pPr>
        <w:spacing w:after="0" w:line="225" w:lineRule="exact"/>
        <w:rPr>
          <w:sz w:val="24"/>
          <w:szCs w:val="24"/>
          <w:color w:val="auto"/>
        </w:rPr>
      </w:pPr>
    </w:p>
    <w:p>
      <w:pPr>
        <w:ind w:left="460" w:hanging="452"/>
        <w:spacing w:after="0"/>
        <w:tabs>
          <w:tab w:leader="none" w:pos="460" w:val="left"/>
        </w:tabs>
        <w:numPr>
          <w:ilvl w:val="0"/>
          <w:numId w:val="5"/>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No fee required.</w:t>
      </w:r>
    </w:p>
    <w:p>
      <w:pPr>
        <w:spacing w:after="0" w:line="225" w:lineRule="exact"/>
        <w:rPr>
          <w:sz w:val="24"/>
          <w:szCs w:val="24"/>
          <w:color w:val="auto"/>
        </w:rPr>
      </w:pPr>
    </w:p>
    <w:p>
      <w:pPr>
        <w:ind w:left="460" w:hanging="452"/>
        <w:spacing w:after="0"/>
        <w:tabs>
          <w:tab w:leader="none" w:pos="460" w:val="left"/>
        </w:tabs>
        <w:numPr>
          <w:ilvl w:val="0"/>
          <w:numId w:val="6"/>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Fee computed on table below per Exchange Act Rules 14a-6(i)(1) and 0-11.</w:t>
      </w:r>
    </w:p>
    <w:p>
      <w:pPr>
        <w:spacing w:after="0" w:line="225" w:lineRule="exact"/>
        <w:rPr>
          <w:rFonts w:ascii="MS PGothic" w:cs="MS PGothic" w:eastAsia="MS PGothic" w:hAnsi="MS PGothic"/>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Title of each class of securities to which transaction applies:</w:t>
      </w:r>
    </w:p>
    <w:p>
      <w:pPr>
        <w:spacing w:after="0" w:line="238"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Aggregate number of securities to which transaction applies:</w:t>
      </w:r>
    </w:p>
    <w:p>
      <w:pPr>
        <w:spacing w:after="0" w:line="238" w:lineRule="exact"/>
        <w:rPr>
          <w:rFonts w:ascii="Times New Roman" w:cs="Times New Roman" w:eastAsia="Times New Roman" w:hAnsi="Times New Roman"/>
          <w:sz w:val="18"/>
          <w:szCs w:val="18"/>
          <w:color w:val="auto"/>
        </w:rPr>
      </w:pPr>
    </w:p>
    <w:p>
      <w:pPr>
        <w:ind w:left="920" w:hanging="453"/>
        <w:spacing w:after="0" w:line="282" w:lineRule="auto"/>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Per unit price or other underlying value of transaction computed pursuant to Exchange Act Rule 0-11 (set forth the amount on which the filing fee is calculated and state how it was determined):</w:t>
      </w:r>
    </w:p>
    <w:p>
      <w:pPr>
        <w:spacing w:after="0" w:line="175"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Proposed maximum aggregate value of transaction:</w:t>
      </w:r>
    </w:p>
    <w:p>
      <w:pPr>
        <w:spacing w:after="0" w:line="238"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Total fee paid:</w:t>
      </w:r>
    </w:p>
    <w:p>
      <w:pPr>
        <w:spacing w:after="0" w:line="200" w:lineRule="exact"/>
        <w:rPr>
          <w:rFonts w:ascii="Times New Roman" w:cs="Times New Roman" w:eastAsia="Times New Roman" w:hAnsi="Times New Roman"/>
          <w:sz w:val="18"/>
          <w:szCs w:val="18"/>
          <w:color w:val="auto"/>
        </w:rPr>
      </w:pPr>
    </w:p>
    <w:p>
      <w:pPr>
        <w:spacing w:after="0" w:line="254" w:lineRule="exact"/>
        <w:rPr>
          <w:rFonts w:ascii="Times New Roman" w:cs="Times New Roman" w:eastAsia="Times New Roman" w:hAnsi="Times New Roman"/>
          <w:sz w:val="18"/>
          <w:szCs w:val="18"/>
          <w:color w:val="auto"/>
        </w:rPr>
      </w:pPr>
    </w:p>
    <w:p>
      <w:pPr>
        <w:ind w:left="460" w:hanging="452"/>
        <w:spacing w:after="0"/>
        <w:tabs>
          <w:tab w:leader="none" w:pos="460" w:val="left"/>
        </w:tabs>
        <w:numPr>
          <w:ilvl w:val="0"/>
          <w:numId w:val="6"/>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Fee paid previously with preliminary materials.</w:t>
      </w:r>
    </w:p>
    <w:p>
      <w:pPr>
        <w:spacing w:after="0" w:line="225" w:lineRule="exact"/>
        <w:rPr>
          <w:rFonts w:ascii="MS PGothic" w:cs="MS PGothic" w:eastAsia="MS PGothic" w:hAnsi="MS PGothic"/>
          <w:sz w:val="18"/>
          <w:szCs w:val="18"/>
          <w:color w:val="auto"/>
        </w:rPr>
      </w:pPr>
    </w:p>
    <w:p>
      <w:pPr>
        <w:ind w:left="460" w:hanging="452"/>
        <w:spacing w:after="0" w:line="282" w:lineRule="auto"/>
        <w:tabs>
          <w:tab w:leader="none" w:pos="460" w:val="left"/>
        </w:tabs>
        <w:numPr>
          <w:ilvl w:val="0"/>
          <w:numId w:val="6"/>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p>
      <w:pPr>
        <w:spacing w:after="0" w:line="161" w:lineRule="exact"/>
        <w:rPr>
          <w:rFonts w:ascii="MS PGothic" w:cs="MS PGothic" w:eastAsia="MS PGothic" w:hAnsi="MS PGothic"/>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Amount Previously Paid:</w:t>
      </w:r>
    </w:p>
    <w:p>
      <w:pPr>
        <w:spacing w:after="0" w:line="238"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Form, Schedule or Registration Statement No.:</w:t>
      </w:r>
    </w:p>
    <w:p>
      <w:pPr>
        <w:spacing w:after="0" w:line="238"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Filing Party:</w:t>
      </w:r>
    </w:p>
    <w:p>
      <w:pPr>
        <w:spacing w:after="0" w:line="238" w:lineRule="exact"/>
        <w:rPr>
          <w:rFonts w:ascii="Times New Roman" w:cs="Times New Roman" w:eastAsia="Times New Roman" w:hAnsi="Times New Roman"/>
          <w:sz w:val="18"/>
          <w:szCs w:val="18"/>
          <w:color w:val="auto"/>
        </w:rPr>
      </w:pPr>
    </w:p>
    <w:p>
      <w:pPr>
        <w:ind w:left="920" w:hanging="453"/>
        <w:spacing w:after="0"/>
        <w:tabs>
          <w:tab w:leader="none" w:pos="92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Date Filed:</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579120</wp:posOffset>
            </wp:positionH>
            <wp:positionV relativeFrom="paragraph">
              <wp:posOffset>-1799590</wp:posOffset>
            </wp:positionV>
            <wp:extent cx="6557645"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557645" cy="8890"/>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-2082165</wp:posOffset>
            </wp:positionV>
            <wp:extent cx="6557645"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557645" cy="8890"/>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-2365375</wp:posOffset>
            </wp:positionV>
            <wp:extent cx="6557645"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557645" cy="8890"/>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-2785110</wp:posOffset>
            </wp:positionV>
            <wp:extent cx="6557645"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557645" cy="8255"/>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-3068320</wp:posOffset>
            </wp:positionV>
            <wp:extent cx="6557645"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557645" cy="8255"/>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154305</wp:posOffset>
            </wp:positionV>
            <wp:extent cx="6557645"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6557645" cy="8255"/>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-127635</wp:posOffset>
            </wp:positionV>
            <wp:extent cx="6557645"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6557645" cy="8890"/>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-410845</wp:posOffset>
            </wp:positionV>
            <wp:extent cx="6557645"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557645" cy="8890"/>
                    </a:xfrm>
                    <a:prstGeom prst="rect">
                      <a:avLst/>
                    </a:prstGeom>
                    <a:noFill/>
                  </pic:spPr>
                </pic:pic>
              </a:graphicData>
            </a:graphic>
          </wp:anchor>
        </w:drawing>
        <w:drawing>
          <wp:anchor simplePos="0" relativeHeight="251657728" behindDoc="1" locked="0" layoutInCell="0" allowOverlap="1">
            <wp:simplePos x="0" y="0"/>
            <wp:positionH relativeFrom="column">
              <wp:posOffset>579120</wp:posOffset>
            </wp:positionH>
            <wp:positionV relativeFrom="paragraph">
              <wp:posOffset>-693420</wp:posOffset>
            </wp:positionV>
            <wp:extent cx="6557645"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6557645" cy="8890"/>
                    </a:xfrm>
                    <a:prstGeom prst="rect">
                      <a:avLst/>
                    </a:prstGeom>
                    <a:noFill/>
                  </pic:spPr>
                </pic:pic>
              </a:graphicData>
            </a:graphic>
          </wp:anchor>
        </w:drawing>
      </w:r>
    </w:p>
    <w:p>
      <w:pPr>
        <w:sectPr>
          <w:pgSz w:w="11900" w:h="16838" w:orient="portrait"/>
          <w:cols w:equalWidth="0" w:num="1">
            <w:col w:w="11240"/>
          </w:cols>
          <w:pgMar w:left="320" w:top="225" w:right="339" w:bottom="542" w:gutter="0" w:footer="0" w:header="0"/>
        </w:sectPr>
      </w:pPr>
    </w:p>
    <w:bookmarkStart w:id="1" w:name="page2"/>
    <w:bookmarkEnd w:id="1"/>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226060</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3F (Building B), No. 185, Sec. 1, Datong Rd., Xizhi Dist.</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New Taipei City Taiwan 221</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(886) 910-163-358</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2024 ANNUAL MEETING OF SHAREHOLDERS</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To be Held on December 16, 2024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5,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Dear Shareholder:</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You are invited to attend the 2024 Annual Meeting of Shareholders (the “Annual Meeting”) of Nocera, Inc. (the “Company” or “Nocera”), which will be held on December 16, 2024, at 12:00 p.m., Eastern Time. This year’s Annual Meeting will be a virtual meeting, conducted solely online. Hosting a virtual meeting will enable our shareholders to attend online and participate from any location around the world and support the health and well-being of our management, directors and shareholders. Shareholders will be able to attend the Annual Meeting by visiting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At the Annual Meeting, shareholders will be asked to: (1) elect five directors; and (2) ratify the appointment of the independent registered public accounting firm for the Company for the fiscal year ended December 31, 2024. The Board of Directors (“Board”) believes that the proposals being submitted for shareholder approval are in the best interests of the Company and its shareholders and recommends a vote consistent with the Board’s recommendation for each proposal.</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It is important that your shares be represented and that you vote at the Annual Meeting regardless of the size of your holdings. Whether or not you plan to participate in the Annual Meeting online, please take the time to vote online, by telephone or, if you receive a printed proxy card, by returning a marked, signed and dated proxy card. If you participate in the Annual Meeting online, you may also vote your shares online at that time if you wish, even if you have previously submitted your vote.</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Further details regarding the Annual Meeting and the business to be conducted are more fully described in the accompanying Notice of 2024 Annual Meeting of Shareholders (“Notice of Annual Meeting”) and 2024 Annual Meeting Proxy Statement (“Proxy Statement”).</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Your vote is important. Whether or not you plan to virtually attend the Annual Meeting, we hope you will vote as soon as possible. Further information about voting methods is set forth in the accompanying Notice of Annual Meeting and Proxy Statement.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Sincerely,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Andy Ching-An Jin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18415</wp:posOffset>
            </wp:positionV>
            <wp:extent cx="3566160"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3566160"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203" w:lineRule="exact"/>
        <w:rPr>
          <w:sz w:val="20"/>
          <w:szCs w:val="20"/>
          <w:color w:val="auto"/>
        </w:rPr>
      </w:pPr>
    </w:p>
    <w:p>
      <w:pPr>
        <w:jc w:val="center"/>
        <w:spacing w:after="0" w:line="268" w:lineRule="auto"/>
        <w:rPr>
          <w:sz w:val="20"/>
          <w:szCs w:val="20"/>
          <w:color w:val="auto"/>
        </w:rPr>
      </w:pPr>
      <w:r>
        <w:rPr>
          <w:rFonts w:ascii="Times New Roman" w:cs="Times New Roman" w:eastAsia="Times New Roman" w:hAnsi="Times New Roman"/>
          <w:sz w:val="18"/>
          <w:szCs w:val="18"/>
          <w:b w:val="1"/>
          <w:bCs w:val="1"/>
          <w:color w:val="auto"/>
        </w:rPr>
        <w:t>IMPORTANT NOTICE REGARDING AVAILABILITY OF PROXY MATERIALS. The Notice of Internet Availability of Proxy Materials is first being mailed to our shareholders on or about November 5, 2024, which indicates that the Notice of Annual Meeting, this Proxy Statement and our 2023 Annual Report, are available at www.proxyvote.com.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1494155</wp:posOffset>
            </wp:positionH>
            <wp:positionV relativeFrom="page">
              <wp:posOffset>380365</wp:posOffset>
            </wp:positionV>
            <wp:extent cx="4560570" cy="10883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4560570" cy="10883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ANNUAL MEETING OF SHAREHOLDERS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Notice is hereby given that the 2024 Annual Meeting of Shareholders of Nocera, Inc. will be held virtually at </w:t>
      </w:r>
      <w:r>
        <w:rPr>
          <w:rFonts w:ascii="Times New Roman" w:cs="Times New Roman" w:eastAsia="Times New Roman" w:hAnsi="Times New Roman"/>
          <w:sz w:val="18"/>
          <w:szCs w:val="18"/>
          <w:i w:val="1"/>
          <w:iCs w:val="1"/>
          <w:color w:val="auto"/>
        </w:rPr>
        <w:t xml:space="preserve">www.mountainsharetransfer.com/ncra </w:t>
      </w:r>
      <w:r>
        <w:rPr>
          <w:rFonts w:ascii="Times New Roman" w:cs="Times New Roman" w:eastAsia="Times New Roman" w:hAnsi="Times New Roman"/>
          <w:sz w:val="18"/>
          <w:szCs w:val="18"/>
          <w:color w:val="auto"/>
        </w:rPr>
        <w:t>on December 16, 2024, at 12:00 p.m., Eastern Time for the following purposes:</w:t>
      </w:r>
    </w:p>
    <w:p>
      <w:pPr>
        <w:spacing w:after="0" w:line="162" w:lineRule="exact"/>
        <w:rPr>
          <w:sz w:val="20"/>
          <w:szCs w:val="20"/>
          <w:color w:val="auto"/>
        </w:rPr>
      </w:pPr>
    </w:p>
    <w:p>
      <w:pPr>
        <w:ind w:left="980" w:hanging="324"/>
        <w:spacing w:after="0" w:line="282" w:lineRule="auto"/>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elect five directors, Gerald H. Lindberg, Sean Filson, Hui-Ying Zhuang, Yiwen Zhang and Song-Yuan Teng, each to hold office until our Annual Meeting of Shareholders to be held in 2025 or their respective successor is duly elected and qualified;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Enmore LLP as the independent auditor of the Company for the fiscal year ending December 31, 2024; and</w:t>
      </w:r>
    </w:p>
    <w:p>
      <w:pPr>
        <w:spacing w:after="0" w:line="200" w:lineRule="exact"/>
        <w:rPr>
          <w:rFonts w:ascii="Times New Roman" w:cs="Times New Roman" w:eastAsia="Times New Roman" w:hAnsi="Times New Roman"/>
          <w:sz w:val="18"/>
          <w:szCs w:val="18"/>
          <w:color w:val="auto"/>
        </w:rPr>
      </w:pPr>
    </w:p>
    <w:p>
      <w:pPr>
        <w:spacing w:after="0" w:line="24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transact such other business as may properly come before the meeting.</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These proposals are more fully described in the Proxy Statement following this Notice of Annual Meeting.</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Board has fixed the close of business on October 30, 2024 as the record date for the determination of the shareholders entitled to notice of, and to vote at, the Annual Meeting. Accordingly, only shareholders of record at the close of business on that date will be entitled to vote at the Annual Meeting.</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Only shareholders and persons holding proxies from shareholders may attend the Annual Meeting. To participate in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you will need the information included on your Notice of Internet Availability of Proxy Materials, your proxy card</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or the instructions that accompanied your proxy materials.</w:t>
      </w:r>
    </w:p>
    <w:p>
      <w:pPr>
        <w:spacing w:after="0" w:line="174"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color w:val="auto"/>
        </w:rPr>
        <w:t>Your vote matters. Whether or not you plan to virtually attend the Annual Meeting, we hope you will vote as soon as possible. Further information about voting methods is set forth in the accompanying Proxy Statement. We encourage you to read the Proxy Statement and submit your proxy or voting instructions as soon as possible. You can vote your shares electronically via the internet, by telephone or if applicable, by completing and returning the proxy card or voting instruction card</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You can revoke a proxy at any time prior to its exercise at the Annual Meeting by following the instructions in the Proxy Statement.</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order of the Board of Directors,</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 xml:space="preserve">/s/ </w:t>
      </w:r>
      <w:r>
        <w:rPr>
          <w:rFonts w:ascii="Times New Roman" w:cs="Times New Roman" w:eastAsia="Times New Roman" w:hAnsi="Times New Roman"/>
          <w:sz w:val="18"/>
          <w:szCs w:val="18"/>
          <w:color w:val="auto"/>
        </w:rPr>
        <w:t>Gerald H. Lindberg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18415</wp:posOffset>
            </wp:positionV>
            <wp:extent cx="356616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3566160"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Gerald H. Lindberg</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Director and Secretary</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November 5,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440" w:right="339" w:bottom="1440" w:gutter="0" w:footer="0" w:header="0"/>
        </w:sectPr>
      </w:pPr>
    </w:p>
    <w:bookmarkStart w:id="4" w:name="page5"/>
    <w:bookmarkEnd w:id="4"/>
    <w:p>
      <w:pPr>
        <w:jc w:val="center"/>
        <w:spacing w:after="0"/>
        <w:rPr>
          <w:sz w:val="20"/>
          <w:szCs w:val="20"/>
          <w:color w:val="auto"/>
        </w:rPr>
      </w:pPr>
      <w:r>
        <w:rPr>
          <w:rFonts w:ascii="Times New Roman" w:cs="Times New Roman" w:eastAsia="Times New Roman" w:hAnsi="Times New Roman"/>
          <w:sz w:val="18"/>
          <w:szCs w:val="18"/>
          <w:b w:val="1"/>
          <w:bCs w:val="1"/>
          <w:color w:val="auto"/>
        </w:rPr>
        <w:t>PROXY STATEMENT</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TABLE OF CONTENTS</w:t>
      </w:r>
    </w:p>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27"/>
        </w:trPr>
        <w:tc>
          <w:tcPr>
            <w:tcW w:w="9340" w:type="dxa"/>
            <w:vAlign w:val="bottom"/>
            <w:gridSpan w:val="18"/>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0000EE"/>
              </w:rPr>
              <w:t>NOTICE OF ANNUAL MEETING OF SHAREHOLDERS</w:t>
            </w:r>
          </w:p>
        </w:tc>
        <w:tc>
          <w:tcPr>
            <w:tcW w:w="1900" w:type="dxa"/>
            <w:vAlign w:val="bottom"/>
            <w:shd w:val="clear" w:color="auto" w:fill="EEEEEE"/>
          </w:tcPr>
          <w:p>
            <w:pPr>
              <w:ind w:left="1720"/>
              <w:spacing w:after="0"/>
              <w:rPr>
                <w:sz w:val="20"/>
                <w:szCs w:val="20"/>
                <w:color w:val="auto"/>
              </w:rPr>
            </w:pPr>
            <w:r>
              <w:rPr>
                <w:rFonts w:ascii="Times New Roman" w:cs="Times New Roman" w:eastAsia="Times New Roman" w:hAnsi="Times New Roman"/>
                <w:sz w:val="18"/>
                <w:szCs w:val="18"/>
                <w:color w:val="auto"/>
              </w:rPr>
              <w:t>ii</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PROXY STATEMENT FOR THE 2024 ANNUAL MEETING OF SHAREHOLDERS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1</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MATTERS TO COME BEFORE THE ANNUAL MEETING</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No. 1: ELECTION OF DIRECTORS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7</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DIRECTORS AND EXECUTIVE OFFICERS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rPr>
              <w:t>8</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CORPORATE GOVERNANCE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10</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EXECUTIVE COMPENSATION</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15</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SECURITY OWNERSHIP OF CERTAIN BENEFICIAL OWNERS AND MANAGEMENT</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19</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SECTION 16(A) BENEFICIAL OWNERSHIP REPORTING COMPLIANCE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20</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PROPOSAL No. 2: RATIFICATION OF APPOINTMENT OF AUDITORS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21</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VOTING MATTERS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23</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CERTAIN RELATIONSHIPS, RELATED TRANSACTIONS AND DIRECTOR INDEPENDENCE</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23</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0000EE"/>
            </w:tcBorders>
          </w:tcPr>
          <w:p>
            <w:pPr>
              <w:spacing w:after="0"/>
              <w:rPr>
                <w:sz w:val="18"/>
                <w:szCs w:val="18"/>
                <w:color w:val="auto"/>
              </w:rPr>
            </w:pPr>
          </w:p>
        </w:tc>
        <w:tc>
          <w:tcPr>
            <w:tcW w:w="480" w:type="dxa"/>
            <w:vAlign w:val="bottom"/>
            <w:tcBorders>
              <w:top w:val="single" w:sz="8" w:color="0000EE"/>
            </w:tcBorders>
          </w:tcPr>
          <w:p>
            <w:pPr>
              <w:spacing w:after="0"/>
              <w:rPr>
                <w:sz w:val="18"/>
                <w:szCs w:val="18"/>
                <w:color w:val="auto"/>
              </w:rPr>
            </w:pPr>
          </w:p>
        </w:tc>
        <w:tc>
          <w:tcPr>
            <w:tcW w:w="580" w:type="dxa"/>
            <w:vAlign w:val="bottom"/>
            <w:tcBorders>
              <w:top w:val="single" w:sz="8" w:color="0000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SHAREHOLDER PROPOSALS AND NOMINATION PROCEDURES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DELIVERY OF DOCUMENTS TO SHAREHOLDERS SHARING AN ADDRESS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140" w:type="dxa"/>
            <w:vAlign w:val="bottom"/>
            <w:tcBorders>
              <w:top w:val="single" w:sz="8" w:color="0000EE"/>
            </w:tcBorders>
          </w:tcPr>
          <w:p>
            <w:pPr>
              <w:spacing w:after="0"/>
              <w:rPr>
                <w:sz w:val="18"/>
                <w:szCs w:val="18"/>
                <w:color w:val="auto"/>
              </w:rPr>
            </w:pPr>
          </w:p>
        </w:tc>
        <w:tc>
          <w:tcPr>
            <w:tcW w:w="540" w:type="dxa"/>
            <w:vAlign w:val="bottom"/>
            <w:tcBorders>
              <w:top w:val="single" w:sz="8" w:color="0000EE"/>
            </w:tcBorders>
          </w:tcPr>
          <w:p>
            <w:pPr>
              <w:spacing w:after="0"/>
              <w:rPr>
                <w:sz w:val="18"/>
                <w:szCs w:val="18"/>
                <w:color w:val="auto"/>
              </w:rPr>
            </w:pPr>
          </w:p>
        </w:tc>
        <w:tc>
          <w:tcPr>
            <w:tcW w:w="16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320" w:type="dxa"/>
            <w:vAlign w:val="bottom"/>
            <w:tcBorders>
              <w:top w:val="single" w:sz="8" w:color="0000EE"/>
            </w:tcBorders>
          </w:tcPr>
          <w:p>
            <w:pPr>
              <w:spacing w:after="0"/>
              <w:rPr>
                <w:sz w:val="18"/>
                <w:szCs w:val="18"/>
                <w:color w:val="auto"/>
              </w:rPr>
            </w:pPr>
          </w:p>
        </w:tc>
        <w:tc>
          <w:tcPr>
            <w:tcW w:w="200" w:type="dxa"/>
            <w:vAlign w:val="bottom"/>
            <w:tcBorders>
              <w:top w:val="single" w:sz="8" w:color="0000EE"/>
            </w:tcBorders>
          </w:tcPr>
          <w:p>
            <w:pPr>
              <w:spacing w:after="0"/>
              <w:rPr>
                <w:sz w:val="18"/>
                <w:szCs w:val="18"/>
                <w:color w:val="auto"/>
              </w:rPr>
            </w:pPr>
          </w:p>
        </w:tc>
        <w:tc>
          <w:tcPr>
            <w:tcW w:w="340" w:type="dxa"/>
            <w:vAlign w:val="bottom"/>
            <w:tcBorders>
              <w:top w:val="single" w:sz="8" w:color="0000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ANNUAL REPORT ON FORM 10-K</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120" w:type="dxa"/>
            <w:vAlign w:val="bottom"/>
            <w:tcBorders>
              <w:top w:val="single" w:sz="8" w:color="0000EE"/>
            </w:tcBorders>
          </w:tcPr>
          <w:p>
            <w:pPr>
              <w:spacing w:after="0"/>
              <w:rPr>
                <w:sz w:val="18"/>
                <w:szCs w:val="18"/>
                <w:color w:val="auto"/>
              </w:rPr>
            </w:pPr>
          </w:p>
        </w:tc>
        <w:tc>
          <w:tcPr>
            <w:tcW w:w="300" w:type="dxa"/>
            <w:vAlign w:val="bottom"/>
            <w:tcBorders>
              <w:top w:val="single" w:sz="8" w:color="0000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96"/>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OTHER MATTERS</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6"/>
        </w:trPr>
        <w:tc>
          <w:tcPr>
            <w:tcW w:w="1580" w:type="dxa"/>
            <w:vAlign w:val="bottom"/>
            <w:tcBorders>
              <w:top w:val="single" w:sz="8" w:color="0000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120" w:type="dxa"/>
            <w:vAlign w:val="bottom"/>
            <w:tcBorders>
              <w:top w:val="single" w:sz="8" w:color="EEEEEE"/>
            </w:tcBorders>
          </w:tcPr>
          <w:p>
            <w:pPr>
              <w:spacing w:after="0"/>
              <w:rPr>
                <w:sz w:val="18"/>
                <w:szCs w:val="18"/>
                <w:color w:val="auto"/>
              </w:rPr>
            </w:pPr>
          </w:p>
        </w:tc>
        <w:tc>
          <w:tcPr>
            <w:tcW w:w="300" w:type="dxa"/>
            <w:vAlign w:val="bottom"/>
            <w:tcBorders>
              <w:top w:val="single" w:sz="8" w:color="EEEEEE"/>
            </w:tcBorders>
          </w:tcPr>
          <w:p>
            <w:pPr>
              <w:spacing w:after="0"/>
              <w:rPr>
                <w:sz w:val="18"/>
                <w:szCs w:val="18"/>
                <w:color w:val="auto"/>
              </w:rPr>
            </w:pPr>
          </w:p>
        </w:tc>
        <w:tc>
          <w:tcPr>
            <w:tcW w:w="6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140" w:type="dxa"/>
            <w:vAlign w:val="bottom"/>
            <w:tcBorders>
              <w:top w:val="single" w:sz="8" w:color="EEEEEE"/>
            </w:tcBorders>
          </w:tcPr>
          <w:p>
            <w:pPr>
              <w:spacing w:after="0"/>
              <w:rPr>
                <w:sz w:val="18"/>
                <w:szCs w:val="18"/>
                <w:color w:val="auto"/>
              </w:rPr>
            </w:pPr>
          </w:p>
        </w:tc>
        <w:tc>
          <w:tcPr>
            <w:tcW w:w="540" w:type="dxa"/>
            <w:vAlign w:val="bottom"/>
            <w:tcBorders>
              <w:top w:val="single" w:sz="8" w:color="EEEEEE"/>
            </w:tcBorders>
          </w:tcPr>
          <w:p>
            <w:pPr>
              <w:spacing w:after="0"/>
              <w:rPr>
                <w:sz w:val="18"/>
                <w:szCs w:val="18"/>
                <w:color w:val="auto"/>
              </w:rPr>
            </w:pPr>
          </w:p>
        </w:tc>
        <w:tc>
          <w:tcPr>
            <w:tcW w:w="160" w:type="dxa"/>
            <w:vAlign w:val="bottom"/>
            <w:tcBorders>
              <w:top w:val="single" w:sz="8" w:color="EEEEEE"/>
            </w:tcBorders>
          </w:tcPr>
          <w:p>
            <w:pPr>
              <w:spacing w:after="0"/>
              <w:rPr>
                <w:sz w:val="18"/>
                <w:szCs w:val="18"/>
                <w:color w:val="auto"/>
              </w:rPr>
            </w:pPr>
          </w:p>
        </w:tc>
        <w:tc>
          <w:tcPr>
            <w:tcW w:w="780" w:type="dxa"/>
            <w:vAlign w:val="bottom"/>
            <w:tcBorders>
              <w:top w:val="single" w:sz="8" w:color="EEEEEE"/>
            </w:tcBorders>
          </w:tcPr>
          <w:p>
            <w:pPr>
              <w:spacing w:after="0"/>
              <w:rPr>
                <w:sz w:val="18"/>
                <w:szCs w:val="18"/>
                <w:color w:val="auto"/>
              </w:rPr>
            </w:pPr>
          </w:p>
        </w:tc>
        <w:tc>
          <w:tcPr>
            <w:tcW w:w="320" w:type="dxa"/>
            <w:vAlign w:val="bottom"/>
            <w:tcBorders>
              <w:top w:val="single" w:sz="8" w:color="EEEEEE"/>
            </w:tcBorders>
          </w:tcPr>
          <w:p>
            <w:pPr>
              <w:spacing w:after="0"/>
              <w:rPr>
                <w:sz w:val="18"/>
                <w:szCs w:val="18"/>
                <w:color w:val="auto"/>
              </w:rPr>
            </w:pPr>
          </w:p>
        </w:tc>
        <w:tc>
          <w:tcPr>
            <w:tcW w:w="200" w:type="dxa"/>
            <w:vAlign w:val="bottom"/>
            <w:tcBorders>
              <w:top w:val="single" w:sz="8" w:color="EEEEEE"/>
            </w:tcBorders>
          </w:tcPr>
          <w:p>
            <w:pPr>
              <w:spacing w:after="0"/>
              <w:rPr>
                <w:sz w:val="18"/>
                <w:szCs w:val="18"/>
                <w:color w:val="auto"/>
              </w:rPr>
            </w:pPr>
          </w:p>
        </w:tc>
        <w:tc>
          <w:tcPr>
            <w:tcW w:w="340" w:type="dxa"/>
            <w:vAlign w:val="bottom"/>
            <w:tcBorders>
              <w:top w:val="single" w:sz="8" w:color="EEEEEE"/>
            </w:tcBorders>
          </w:tcPr>
          <w:p>
            <w:pPr>
              <w:spacing w:after="0"/>
              <w:rPr>
                <w:sz w:val="18"/>
                <w:szCs w:val="18"/>
                <w:color w:val="auto"/>
              </w:rPr>
            </w:pPr>
          </w:p>
        </w:tc>
        <w:tc>
          <w:tcPr>
            <w:tcW w:w="240" w:type="dxa"/>
            <w:vAlign w:val="bottom"/>
            <w:tcBorders>
              <w:top w:val="single" w:sz="8" w:color="EEEEEE"/>
            </w:tcBorders>
          </w:tcPr>
          <w:p>
            <w:pPr>
              <w:spacing w:after="0"/>
              <w:rPr>
                <w:sz w:val="18"/>
                <w:szCs w:val="18"/>
                <w:color w:val="auto"/>
              </w:rPr>
            </w:pPr>
          </w:p>
        </w:tc>
        <w:tc>
          <w:tcPr>
            <w:tcW w:w="480" w:type="dxa"/>
            <w:vAlign w:val="bottom"/>
            <w:tcBorders>
              <w:top w:val="single" w:sz="8" w:color="EEEEEE"/>
            </w:tcBorders>
          </w:tcPr>
          <w:p>
            <w:pPr>
              <w:spacing w:after="0"/>
              <w:rPr>
                <w:sz w:val="18"/>
                <w:szCs w:val="18"/>
                <w:color w:val="auto"/>
              </w:rPr>
            </w:pPr>
          </w:p>
        </w:tc>
        <w:tc>
          <w:tcPr>
            <w:tcW w:w="580" w:type="dxa"/>
            <w:vAlign w:val="bottom"/>
            <w:tcBorders>
              <w:top w:val="single" w:sz="8" w:color="EEEEEE"/>
            </w:tcBorders>
          </w:tcPr>
          <w:p>
            <w:pPr>
              <w:spacing w:after="0"/>
              <w:rPr>
                <w:sz w:val="18"/>
                <w:szCs w:val="18"/>
                <w:color w:val="auto"/>
              </w:rPr>
            </w:pPr>
          </w:p>
        </w:tc>
        <w:tc>
          <w:tcPr>
            <w:tcW w:w="1660" w:type="dxa"/>
            <w:vAlign w:val="bottom"/>
            <w:tcBorders>
              <w:top w:val="single" w:sz="8" w:color="EEEEEE"/>
            </w:tcBorders>
          </w:tcPr>
          <w:p>
            <w:pPr>
              <w:spacing w:after="0"/>
              <w:rPr>
                <w:sz w:val="18"/>
                <w:szCs w:val="18"/>
                <w:color w:val="auto"/>
              </w:rPr>
            </w:pPr>
          </w:p>
        </w:tc>
        <w:tc>
          <w:tcPr>
            <w:tcW w:w="1900" w:type="dxa"/>
            <w:vAlign w:val="bottom"/>
            <w:tcBorders>
              <w:top w:val="single" w:sz="8" w:color="EEEEEE"/>
            </w:tcBorders>
          </w:tcPr>
          <w:p>
            <w:pPr>
              <w:spacing w:after="0"/>
              <w:rPr>
                <w:sz w:val="18"/>
                <w:szCs w:val="18"/>
                <w:color w:val="auto"/>
              </w:rPr>
            </w:pPr>
          </w:p>
        </w:tc>
      </w:tr>
      <w:tr>
        <w:trPr>
          <w:trHeight w:val="175"/>
        </w:trPr>
        <w:tc>
          <w:tcPr>
            <w:tcW w:w="9340" w:type="dxa"/>
            <w:vAlign w:val="bottom"/>
            <w:gridSpan w:val="18"/>
            <w:shd w:val="clear" w:color="auto" w:fill="EEEEEE"/>
          </w:tcPr>
          <w:p>
            <w:pPr>
              <w:spacing w:after="0" w:line="176" w:lineRule="exact"/>
              <w:rPr>
                <w:sz w:val="20"/>
                <w:szCs w:val="20"/>
                <w:color w:val="auto"/>
              </w:rPr>
            </w:pPr>
            <w:r>
              <w:rPr>
                <w:rFonts w:ascii="Times New Roman" w:cs="Times New Roman" w:eastAsia="Times New Roman" w:hAnsi="Times New Roman"/>
                <w:sz w:val="18"/>
                <w:szCs w:val="18"/>
                <w:b w:val="1"/>
                <w:bCs w:val="1"/>
                <w:color w:val="0000EE"/>
              </w:rPr>
              <w:t>VIRTUAL ACCESS TO THE ANNUAL MEETING</w:t>
            </w:r>
          </w:p>
        </w:tc>
        <w:tc>
          <w:tcPr>
            <w:tcW w:w="1900" w:type="dxa"/>
            <w:vAlign w:val="bottom"/>
            <w:shd w:val="clear" w:color="auto" w:fill="EEEEEE"/>
          </w:tcPr>
          <w:p>
            <w:pPr>
              <w:jc w:val="center"/>
              <w:ind w:left="1550"/>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1"/>
        </w:trPr>
        <w:tc>
          <w:tcPr>
            <w:tcW w:w="1580" w:type="dxa"/>
            <w:vAlign w:val="bottom"/>
            <w:tcBorders>
              <w:top w:val="single" w:sz="8" w:color="0000EE"/>
            </w:tcBorders>
            <w:shd w:val="clear" w:color="auto" w:fill="EEEEEE"/>
          </w:tcPr>
          <w:p>
            <w:pPr>
              <w:spacing w:after="0" w:line="20" w:lineRule="exact"/>
              <w:rPr>
                <w:sz w:val="1"/>
                <w:szCs w:val="1"/>
                <w:color w:val="auto"/>
              </w:rPr>
            </w:pPr>
          </w:p>
        </w:tc>
        <w:tc>
          <w:tcPr>
            <w:tcW w:w="78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680" w:type="dxa"/>
            <w:vAlign w:val="bottom"/>
            <w:tcBorders>
              <w:top w:val="single" w:sz="8" w:color="0000EE"/>
            </w:tcBorders>
            <w:shd w:val="clear" w:color="auto" w:fill="EEEEEE"/>
          </w:tcPr>
          <w:p>
            <w:pPr>
              <w:spacing w:after="0" w:line="20" w:lineRule="exact"/>
              <w:rPr>
                <w:sz w:val="1"/>
                <w:szCs w:val="1"/>
                <w:color w:val="auto"/>
              </w:rPr>
            </w:pPr>
          </w:p>
        </w:tc>
        <w:tc>
          <w:tcPr>
            <w:tcW w:w="32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540" w:type="dxa"/>
            <w:vAlign w:val="bottom"/>
            <w:tcBorders>
              <w:top w:val="single" w:sz="8" w:color="EEEEEE"/>
            </w:tcBorders>
            <w:shd w:val="clear" w:color="auto" w:fill="EEEEEE"/>
          </w:tcPr>
          <w:p>
            <w:pPr>
              <w:spacing w:after="0" w:line="20" w:lineRule="exact"/>
              <w:rPr>
                <w:sz w:val="1"/>
                <w:szCs w:val="1"/>
                <w:color w:val="auto"/>
              </w:rPr>
            </w:pPr>
          </w:p>
        </w:tc>
        <w:tc>
          <w:tcPr>
            <w:tcW w:w="160" w:type="dxa"/>
            <w:vAlign w:val="bottom"/>
            <w:tcBorders>
              <w:top w:val="single" w:sz="8" w:color="EEEEEE"/>
            </w:tcBorders>
            <w:shd w:val="clear" w:color="auto" w:fill="EEEEEE"/>
          </w:tcPr>
          <w:p>
            <w:pPr>
              <w:spacing w:after="0" w:line="20" w:lineRule="exact"/>
              <w:rPr>
                <w:sz w:val="1"/>
                <w:szCs w:val="1"/>
                <w:color w:val="auto"/>
              </w:rPr>
            </w:pPr>
          </w:p>
        </w:tc>
        <w:tc>
          <w:tcPr>
            <w:tcW w:w="780" w:type="dxa"/>
            <w:vAlign w:val="bottom"/>
            <w:tcBorders>
              <w:top w:val="single" w:sz="8" w:color="EEEEEE"/>
            </w:tcBorders>
            <w:shd w:val="clear" w:color="auto" w:fill="EEEEEE"/>
          </w:tcPr>
          <w:p>
            <w:pPr>
              <w:spacing w:after="0" w:line="20" w:lineRule="exact"/>
              <w:rPr>
                <w:sz w:val="1"/>
                <w:szCs w:val="1"/>
                <w:color w:val="auto"/>
              </w:rPr>
            </w:pPr>
          </w:p>
        </w:tc>
        <w:tc>
          <w:tcPr>
            <w:tcW w:w="32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340" w:type="dxa"/>
            <w:vAlign w:val="bottom"/>
            <w:tcBorders>
              <w:top w:val="single" w:sz="8" w:color="EEEEEE"/>
            </w:tcBorders>
            <w:shd w:val="clear" w:color="auto" w:fill="EEEEEE"/>
          </w:tcPr>
          <w:p>
            <w:pPr>
              <w:spacing w:after="0" w:line="20" w:lineRule="exact"/>
              <w:rPr>
                <w:sz w:val="1"/>
                <w:szCs w:val="1"/>
                <w:color w:val="auto"/>
              </w:rPr>
            </w:pPr>
          </w:p>
        </w:tc>
        <w:tc>
          <w:tcPr>
            <w:tcW w:w="24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580" w:type="dxa"/>
            <w:vAlign w:val="bottom"/>
            <w:tcBorders>
              <w:top w:val="single" w:sz="8" w:color="EEEEEE"/>
            </w:tcBorders>
            <w:shd w:val="clear" w:color="auto" w:fill="EEEEEE"/>
          </w:tcPr>
          <w:p>
            <w:pPr>
              <w:spacing w:after="0" w:line="20" w:lineRule="exact"/>
              <w:rPr>
                <w:sz w:val="1"/>
                <w:szCs w:val="1"/>
                <w:color w:val="auto"/>
              </w:rPr>
            </w:pPr>
          </w:p>
        </w:tc>
        <w:tc>
          <w:tcPr>
            <w:tcW w:w="1660" w:type="dxa"/>
            <w:vAlign w:val="bottom"/>
            <w:tcBorders>
              <w:top w:val="single" w:sz="8" w:color="EEEEEE"/>
            </w:tcBorders>
            <w:shd w:val="clear" w:color="auto" w:fill="EEEEEE"/>
          </w:tcPr>
          <w:p>
            <w:pPr>
              <w:spacing w:after="0" w:line="20" w:lineRule="exact"/>
              <w:rPr>
                <w:sz w:val="1"/>
                <w:szCs w:val="1"/>
                <w:color w:val="auto"/>
              </w:rPr>
            </w:pPr>
          </w:p>
        </w:tc>
        <w:tc>
          <w:tcPr>
            <w:tcW w:w="190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ind w:left="2320"/>
        <w:spacing w:after="0"/>
        <w:rPr>
          <w:sz w:val="20"/>
          <w:szCs w:val="20"/>
          <w:color w:val="auto"/>
        </w:rPr>
      </w:pPr>
      <w:r>
        <w:rPr>
          <w:rFonts w:ascii="Times New Roman" w:cs="Times New Roman" w:eastAsia="Times New Roman" w:hAnsi="Times New Roman"/>
          <w:sz w:val="18"/>
          <w:szCs w:val="18"/>
          <w:b w:val="1"/>
          <w:bCs w:val="1"/>
          <w:color w:val="auto"/>
        </w:rPr>
        <w:t>PROXY STATEMENT FOR THE 2024 ANNUAL MEETING OF SHAREHOLDERS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INFORMATION</w:t>
      </w:r>
    </w:p>
    <w:p>
      <w:pPr>
        <w:spacing w:after="0" w:line="229" w:lineRule="exact"/>
        <w:rPr>
          <w:sz w:val="20"/>
          <w:szCs w:val="20"/>
          <w:color w:val="auto"/>
        </w:rPr>
      </w:pPr>
    </w:p>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To assist you in reviewing this meeting’s proposals, we call your attention to the following proxy summary. This is only a summary; please review this Proxy Statement in full.</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Summary of Shareholder Voting Matters</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w:t>
      </w:r>
      <w:r>
        <w:rPr>
          <w:rFonts w:ascii="Times New Roman" w:cs="Times New Roman" w:eastAsia="Times New Roman" w:hAnsi="Times New Roman"/>
          <w:sz w:val="12"/>
          <w:szCs w:val="12"/>
          <w:b w:val="1"/>
          <w:bCs w:val="1"/>
          <w:color w:val="auto"/>
        </w:rPr>
        <w:t>roposal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55753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557530"/>
                    </a:xfrm>
                    <a:prstGeom prst="rect">
                      <a:avLst/>
                    </a:prstGeom>
                    <a:noFill/>
                  </pic:spPr>
                </pic:pic>
              </a:graphicData>
            </a:graphic>
          </wp:anchor>
        </w:drawing>
      </w:r>
    </w:p>
    <w:p>
      <w:pPr>
        <w:spacing w:after="0" w:line="11" w:lineRule="exact"/>
        <w:rPr>
          <w:sz w:val="20"/>
          <w:szCs w:val="20"/>
          <w:color w:val="auto"/>
        </w:rPr>
      </w:pPr>
    </w:p>
    <w:p>
      <w:pPr>
        <w:jc w:val="both"/>
        <w:spacing w:after="0" w:line="259" w:lineRule="auto"/>
        <w:rPr>
          <w:sz w:val="20"/>
          <w:szCs w:val="20"/>
          <w:color w:val="auto"/>
        </w:rPr>
      </w:pPr>
      <w:r>
        <w:rPr>
          <w:rFonts w:ascii="Times New Roman" w:cs="Times New Roman" w:eastAsia="Times New Roman" w:hAnsi="Times New Roman"/>
          <w:sz w:val="18"/>
          <w:szCs w:val="18"/>
          <w:b w:val="1"/>
          <w:bCs w:val="1"/>
          <w:color w:val="auto"/>
        </w:rPr>
        <w:t>Item 1</w:t>
      </w:r>
      <w:r>
        <w:rPr>
          <w:rFonts w:ascii="Times New Roman" w:cs="Times New Roman" w:eastAsia="Times New Roman" w:hAnsi="Times New Roman"/>
          <w:sz w:val="18"/>
          <w:szCs w:val="18"/>
          <w:color w:val="auto"/>
        </w:rPr>
        <w:t>: Election of five directors, Gerald H. Lindberg, Sean Filson, Hui-Ying Zhuang,</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Yiwen Zhang and Song-Yuan Teng, each to hold office until our Annual Meeting of Shareholders to be held in 2025 and until their respective successor is duly elected and qualified; and</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w:t>
      </w:r>
      <w:r>
        <w:rPr>
          <w:rFonts w:ascii="Times New Roman" w:cs="Times New Roman" w:eastAsia="Times New Roman" w:hAnsi="Times New Roman"/>
          <w:sz w:val="12"/>
          <w:szCs w:val="12"/>
          <w:b w:val="1"/>
          <w:bCs w:val="1"/>
          <w:color w:val="auto"/>
        </w:rPr>
        <w:t>or</w:t>
      </w:r>
      <w:r>
        <w:rPr>
          <w:rFonts w:ascii="Times New Roman" w:cs="Times New Roman" w:eastAsia="Times New Roman" w:hAnsi="Times New Roman"/>
          <w:sz w:val="18"/>
          <w:szCs w:val="18"/>
          <w:b w:val="1"/>
          <w:bCs w:val="1"/>
          <w:color w:val="auto"/>
        </w:rPr>
        <w:t xml:space="preserve"> M</w:t>
      </w:r>
      <w:r>
        <w:rPr>
          <w:rFonts w:ascii="Times New Roman" w:cs="Times New Roman" w:eastAsia="Times New Roman" w:hAnsi="Times New Roman"/>
          <w:sz w:val="12"/>
          <w:szCs w:val="12"/>
          <w:b w:val="1"/>
          <w:bCs w:val="1"/>
          <w:color w:val="auto"/>
        </w:rPr>
        <w:t>ore</w:t>
      </w:r>
      <w:r>
        <w:rPr>
          <w:rFonts w:ascii="Times New Roman" w:cs="Times New Roman" w:eastAsia="Times New Roman" w:hAnsi="Times New Roman"/>
          <w:sz w:val="18"/>
          <w:szCs w:val="18"/>
          <w:b w:val="1"/>
          <w:bCs w:val="1"/>
          <w:color w:val="auto"/>
        </w:rPr>
        <w:t xml:space="preserve"> I</w:t>
      </w:r>
      <w:r>
        <w:rPr>
          <w:rFonts w:ascii="Times New Roman" w:cs="Times New Roman" w:eastAsia="Times New Roman" w:hAnsi="Times New Roman"/>
          <w:sz w:val="12"/>
          <w:szCs w:val="12"/>
          <w:b w:val="1"/>
          <w:bCs w:val="1"/>
          <w:color w:val="auto"/>
        </w:rPr>
        <w:t>nformation</w:t>
      </w:r>
    </w:p>
    <w:p>
      <w:pPr>
        <w:spacing w:after="0" w:line="351" w:lineRule="exact"/>
        <w:rPr>
          <w:sz w:val="20"/>
          <w:szCs w:val="20"/>
          <w:color w:val="auto"/>
        </w:rPr>
      </w:pPr>
    </w:p>
    <w:p>
      <w:pPr>
        <w:jc w:val="center"/>
        <w:ind w:left="-499"/>
        <w:spacing w:after="0"/>
        <w:rPr>
          <w:sz w:val="20"/>
          <w:szCs w:val="20"/>
          <w:color w:val="auto"/>
        </w:rPr>
      </w:pPr>
      <w:r>
        <w:rPr>
          <w:rFonts w:ascii="Times New Roman" w:cs="Times New Roman" w:eastAsia="Times New Roman" w:hAnsi="Times New Roman"/>
          <w:sz w:val="18"/>
          <w:szCs w:val="18"/>
          <w:color w:val="auto"/>
        </w:rPr>
        <w:t>Page 7</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ind w:right="740"/>
        <w:spacing w:after="0" w:line="286" w:lineRule="auto"/>
        <w:rPr>
          <w:sz w:val="20"/>
          <w:szCs w:val="20"/>
          <w:color w:val="auto"/>
        </w:rPr>
      </w:pPr>
      <w:r>
        <w:rPr>
          <w:rFonts w:ascii="Times New Roman" w:cs="Times New Roman" w:eastAsia="Times New Roman" w:hAnsi="Times New Roman"/>
          <w:sz w:val="18"/>
          <w:szCs w:val="18"/>
          <w:b w:val="1"/>
          <w:bCs w:val="1"/>
          <w:color w:val="auto"/>
        </w:rPr>
        <w:t>B</w:t>
      </w:r>
      <w:r>
        <w:rPr>
          <w:rFonts w:ascii="Times New Roman" w:cs="Times New Roman" w:eastAsia="Times New Roman" w:hAnsi="Times New Roman"/>
          <w:sz w:val="12"/>
          <w:szCs w:val="12"/>
          <w:b w:val="1"/>
          <w:bCs w:val="1"/>
          <w:color w:val="auto"/>
        </w:rPr>
        <w:t>oard of</w:t>
      </w:r>
      <w:r>
        <w:rPr>
          <w:rFonts w:ascii="Times New Roman" w:cs="Times New Roman" w:eastAsia="Times New Roman" w:hAnsi="Times New Roman"/>
          <w:sz w:val="18"/>
          <w:szCs w:val="18"/>
          <w:b w:val="1"/>
          <w:bCs w:val="1"/>
          <w:color w:val="auto"/>
        </w:rPr>
        <w:t xml:space="preserve"> D</w:t>
      </w:r>
      <w:r>
        <w:rPr>
          <w:rFonts w:ascii="Times New Roman" w:cs="Times New Roman" w:eastAsia="Times New Roman" w:hAnsi="Times New Roman"/>
          <w:sz w:val="12"/>
          <w:szCs w:val="12"/>
          <w:b w:val="1"/>
          <w:bCs w:val="1"/>
          <w:color w:val="auto"/>
        </w:rPr>
        <w:t>irectors</w:t>
      </w:r>
      <w:r>
        <w:rPr>
          <w:rFonts w:ascii="Times New Roman" w:cs="Times New Roman" w:eastAsia="Times New Roman" w:hAnsi="Times New Roman"/>
          <w:sz w:val="18"/>
          <w:szCs w:val="18"/>
          <w:b w:val="1"/>
          <w:bCs w:val="1"/>
          <w:color w:val="auto"/>
        </w:rPr>
        <w:t xml:space="preserve"> R</w:t>
      </w:r>
      <w:r>
        <w:rPr>
          <w:rFonts w:ascii="Times New Roman" w:cs="Times New Roman" w:eastAsia="Times New Roman" w:hAnsi="Times New Roman"/>
          <w:sz w:val="12"/>
          <w:szCs w:val="12"/>
          <w:b w:val="1"/>
          <w:bCs w:val="1"/>
          <w:color w:val="auto"/>
        </w:rPr>
        <w:t>ecommendation</w:t>
      </w:r>
    </w:p>
    <w:p>
      <w:pPr>
        <w:spacing w:after="0" w:line="240" w:lineRule="exact"/>
        <w:rPr>
          <w:sz w:val="20"/>
          <w:szCs w:val="20"/>
          <w:color w:val="auto"/>
        </w:rPr>
      </w:pPr>
    </w:p>
    <w:p>
      <w:pPr>
        <w:ind w:left="840"/>
        <w:spacing w:after="0" w:line="207" w:lineRule="exact"/>
        <w:rPr>
          <w:sz w:val="20"/>
          <w:szCs w:val="20"/>
          <w:color w:val="auto"/>
        </w:rPr>
      </w:pPr>
      <w:r>
        <w:rPr>
          <w:rFonts w:ascii="MS PGothic" w:cs="MS PGothic" w:eastAsia="MS PGothic" w:hAnsi="MS PGothic"/>
          <w:sz w:val="18"/>
          <w:szCs w:val="18"/>
          <w:color w:val="auto"/>
        </w:rPr>
        <w:t>✔</w:t>
      </w:r>
      <w:r>
        <w:rPr>
          <w:rFonts w:ascii="Times New Roman" w:cs="Times New Roman" w:eastAsia="Times New Roman" w:hAnsi="Times New Roman"/>
          <w:sz w:val="18"/>
          <w:szCs w:val="18"/>
          <w:b w:val="1"/>
          <w:bCs w:val="1"/>
          <w:color w:val="auto"/>
        </w:rPr>
        <w:t xml:space="preserve"> FOR</w:t>
      </w:r>
    </w:p>
    <w:p>
      <w:pPr>
        <w:spacing w:after="0" w:line="598" w:lineRule="exact"/>
        <w:rPr>
          <w:sz w:val="20"/>
          <w:szCs w:val="20"/>
          <w:color w:val="auto"/>
        </w:rPr>
      </w:pPr>
    </w:p>
    <w:p>
      <w:pPr>
        <w:sectPr>
          <w:pgSz w:w="11900" w:h="16838" w:orient="portrait"/>
          <w:cols w:equalWidth="0" w:num="3">
            <w:col w:w="6520" w:space="140"/>
            <w:col w:w="1720" w:space="620"/>
            <w:col w:w="224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07"/>
        </w:trPr>
        <w:tc>
          <w:tcPr>
            <w:tcW w:w="70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Item 2</w:t>
            </w:r>
            <w:r>
              <w:rPr>
                <w:rFonts w:ascii="Times New Roman" w:cs="Times New Roman" w:eastAsia="Times New Roman" w:hAnsi="Times New Roman"/>
                <w:sz w:val="18"/>
                <w:szCs w:val="18"/>
                <w:color w:val="auto"/>
              </w:rPr>
              <w:t>: Ratification of appointment of Enmore LLP to serve as the independent auditor of</w:t>
            </w:r>
          </w:p>
        </w:tc>
        <w:tc>
          <w:tcPr>
            <w:tcW w:w="1940" w:type="dxa"/>
            <w:vAlign w:val="bottom"/>
            <w:shd w:val="clear" w:color="auto" w:fill="EEEEEE"/>
          </w:tcPr>
          <w:p>
            <w:pPr>
              <w:ind w:left="480"/>
              <w:spacing w:after="0"/>
              <w:rPr>
                <w:sz w:val="20"/>
                <w:szCs w:val="20"/>
                <w:color w:val="auto"/>
              </w:rPr>
            </w:pPr>
            <w:r>
              <w:rPr>
                <w:rFonts w:ascii="Times New Roman" w:cs="Times New Roman" w:eastAsia="Times New Roman" w:hAnsi="Times New Roman"/>
                <w:sz w:val="18"/>
                <w:szCs w:val="18"/>
                <w:color w:val="auto"/>
              </w:rPr>
              <w:t>Page 24</w:t>
            </w:r>
          </w:p>
        </w:tc>
        <w:tc>
          <w:tcPr>
            <w:tcW w:w="2300" w:type="dxa"/>
            <w:vAlign w:val="bottom"/>
            <w:shd w:val="clear" w:color="auto" w:fill="EEEEEE"/>
          </w:tcPr>
          <w:p>
            <w:pPr>
              <w:ind w:left="900"/>
              <w:spacing w:after="0" w:line="207" w:lineRule="exact"/>
              <w:rPr>
                <w:sz w:val="20"/>
                <w:szCs w:val="20"/>
                <w:color w:val="auto"/>
              </w:rPr>
            </w:pPr>
            <w:r>
              <w:rPr>
                <w:rFonts w:ascii="MS PGothic" w:cs="MS PGothic" w:eastAsia="MS PGothic" w:hAnsi="MS PGothic"/>
                <w:sz w:val="18"/>
                <w:szCs w:val="18"/>
                <w:color w:val="auto"/>
              </w:rPr>
              <w:t>✔</w:t>
            </w:r>
            <w:r>
              <w:rPr>
                <w:rFonts w:ascii="Times New Roman" w:cs="Times New Roman" w:eastAsia="Times New Roman" w:hAnsi="Times New Roman"/>
                <w:sz w:val="18"/>
                <w:szCs w:val="18"/>
                <w:b w:val="1"/>
                <w:bCs w:val="1"/>
                <w:color w:val="auto"/>
              </w:rPr>
              <w:t xml:space="preserve"> FOR</w:t>
            </w:r>
          </w:p>
        </w:tc>
      </w:tr>
      <w:tr>
        <w:trPr>
          <w:trHeight w:val="234"/>
        </w:trPr>
        <w:tc>
          <w:tcPr>
            <w:tcW w:w="70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the Company for the fiscal year ending December 31, 2024.</w:t>
            </w:r>
          </w:p>
        </w:tc>
        <w:tc>
          <w:tcPr>
            <w:tcW w:w="1940" w:type="dxa"/>
            <w:vAlign w:val="bottom"/>
            <w:shd w:val="clear" w:color="auto" w:fill="EEEEEE"/>
          </w:tcPr>
          <w:p>
            <w:pPr>
              <w:spacing w:after="0"/>
              <w:rPr>
                <w:sz w:val="20"/>
                <w:szCs w:val="20"/>
                <w:color w:val="auto"/>
              </w:rPr>
            </w:pPr>
          </w:p>
        </w:tc>
        <w:tc>
          <w:tcPr>
            <w:tcW w:w="2300" w:type="dxa"/>
            <w:vAlign w:val="bottom"/>
            <w:shd w:val="clear" w:color="auto" w:fill="EEEEEE"/>
          </w:tcPr>
          <w:p>
            <w:pPr>
              <w:spacing w:after="0"/>
              <w:rPr>
                <w:sz w:val="20"/>
                <w:szCs w:val="20"/>
                <w:color w:val="auto"/>
              </w:rPr>
            </w:pPr>
          </w:p>
        </w:tc>
      </w:tr>
    </w:tbl>
    <w:p>
      <w:pPr>
        <w:spacing w:after="0" w:line="200" w:lineRule="exact"/>
        <w:rPr>
          <w:sz w:val="20"/>
          <w:szCs w:val="20"/>
          <w:color w:val="auto"/>
        </w:rPr>
      </w:pPr>
    </w:p>
    <w:p>
      <w:pPr>
        <w:spacing w:after="0" w:line="210" w:lineRule="exact"/>
        <w:rPr>
          <w:sz w:val="20"/>
          <w:szCs w:val="20"/>
          <w:color w:val="auto"/>
        </w:rPr>
      </w:pPr>
    </w:p>
    <w:p>
      <w:pPr>
        <w:ind w:left="2400"/>
        <w:spacing w:after="0"/>
        <w:rPr>
          <w:sz w:val="20"/>
          <w:szCs w:val="20"/>
          <w:color w:val="auto"/>
        </w:rPr>
      </w:pPr>
      <w:r>
        <w:rPr>
          <w:rFonts w:ascii="Times New Roman" w:cs="Times New Roman" w:eastAsia="Times New Roman" w:hAnsi="Times New Roman"/>
          <w:sz w:val="18"/>
          <w:szCs w:val="18"/>
          <w:b w:val="1"/>
          <w:bCs w:val="1"/>
          <w:color w:val="auto"/>
        </w:rPr>
        <w:t>QUESTIONS AND ANSWERS ABOUT THE ANNUAL MEETING AND VOTING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Why did I receive a Notice of Internet Availability of Proxy Materials?</w:t>
      </w:r>
    </w:p>
    <w:p>
      <w:pPr>
        <w:spacing w:after="0" w:line="229" w:lineRule="exact"/>
        <w:rPr>
          <w:sz w:val="20"/>
          <w:szCs w:val="20"/>
          <w:color w:val="auto"/>
        </w:rPr>
      </w:pPr>
    </w:p>
    <w:p>
      <w:pPr>
        <w:jc w:val="both"/>
        <w:ind w:firstLine="8"/>
        <w:spacing w:after="0" w:line="254" w:lineRule="auto"/>
        <w:tabs>
          <w:tab w:leader="none" w:pos="241"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 accordance with rules adopted by the Securities and Exchange Commission (the “SEC”), we have elected to deliver this proxy statement and our 2023 Annual Report which consists of our Annual Report on Form 10-K for the fiscal year ended December 31, 2023, which was originally filed with the SEC on April 1, 2024 and subsequently amended on October 7, 2024 (the “2023 Annual Report”), to the majority of our shareholders online in lieu of mailing printed copies of these materials to each of our shareholders (the “Notice Process”). If you received a Notice of Internet Availability of Proxy Materials (the “Notice”) by mail, you will not receive printed copies of our proxy materials unless you request them. Instead, the Notice provides instructions on how to access this Proxy Statement and our 2023 Annual Report online, as well as how to obtain printed copies of these materials by mail. We believe that the Notice Process allows us to provide our shareholders with the information they need in a more timely manner than if we had elected to mail printed materials, while reducing the environmental impact of, and lowering the costs associated with, the printing and distribution of our proxy materials.</w:t>
      </w:r>
    </w:p>
    <w:p>
      <w:pPr>
        <w:spacing w:after="0" w:line="188"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The Notice is being mailed on or about November 5, 2024 to shareholders of record at the close of business on October 30, 2024 (the “Record Date”) and this Proxy Statement and our 2023 Annual Report will be available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beginning on November 5, 2024. If you received a Notice by mail, but would rather receive printed copies of our proxy materials, please follow the instructions included in the Notice. You will not receive a Notice if you have previously elected to receive printed copies of our proxy materials.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Can I vote my shares by filling out and returning the Notice?</w:t>
      </w:r>
    </w:p>
    <w:p>
      <w:pPr>
        <w:spacing w:after="0" w:line="229" w:lineRule="exact"/>
        <w:rPr>
          <w:sz w:val="20"/>
          <w:szCs w:val="20"/>
          <w:color w:val="auto"/>
        </w:rPr>
      </w:pPr>
    </w:p>
    <w:p>
      <w:pPr>
        <w:jc w:val="both"/>
        <w:ind w:firstLine="8"/>
        <w:spacing w:after="0" w:line="266" w:lineRule="auto"/>
        <w:tabs>
          <w:tab w:leader="none" w:pos="253"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No. However, the Notice contains instructions on how to vote your shares: (i) before the date of the Annual Meeting by way of completing and submitting your proxy online, by phone or by requesting and returning a written proxy card by mail, or (ii) at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6" w:name="page7"/>
    <w:bookmarkEnd w:id="6"/>
    <w:p>
      <w:pPr>
        <w:spacing w:after="0"/>
        <w:rPr>
          <w:sz w:val="20"/>
          <w:szCs w:val="20"/>
          <w:color w:val="auto"/>
        </w:rPr>
      </w:pPr>
      <w:r>
        <w:rPr>
          <w:rFonts w:ascii="Times New Roman" w:cs="Times New Roman" w:eastAsia="Times New Roman" w:hAnsi="Times New Roman"/>
          <w:sz w:val="18"/>
          <w:szCs w:val="18"/>
          <w:b w:val="1"/>
          <w:bCs w:val="1"/>
          <w:color w:val="auto"/>
        </w:rPr>
        <w:t>Q: How do I participate in the Annual Meeting?</w:t>
      </w:r>
    </w:p>
    <w:p>
      <w:pPr>
        <w:spacing w:after="0" w:line="227" w:lineRule="exact"/>
        <w:rPr>
          <w:sz w:val="20"/>
          <w:szCs w:val="20"/>
          <w:color w:val="auto"/>
        </w:rPr>
      </w:pPr>
    </w:p>
    <w:p>
      <w:pPr>
        <w:ind w:firstLine="8"/>
        <w:spacing w:after="0" w:line="284" w:lineRule="auto"/>
        <w:tabs>
          <w:tab w:leader="none" w:pos="226"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 participate in the Annual Meeting, go to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at the time and date of the Annual Meeting and enter the sixteen-digit control number included on your Notice, your proxy card or the instructions from your broker that accompanied your proxy materials.</w:t>
      </w:r>
    </w:p>
    <w:p>
      <w:pPr>
        <w:spacing w:after="0" w:line="15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Who is entitled to vote at the Annual Meeting?</w:t>
      </w:r>
    </w:p>
    <w:p>
      <w:pPr>
        <w:spacing w:after="0" w:line="229" w:lineRule="exact"/>
        <w:rPr>
          <w:sz w:val="20"/>
          <w:szCs w:val="20"/>
          <w:color w:val="auto"/>
        </w:rPr>
      </w:pPr>
    </w:p>
    <w:p>
      <w:pPr>
        <w:ind w:firstLine="8"/>
        <w:spacing w:after="0" w:line="282" w:lineRule="auto"/>
        <w:tabs>
          <w:tab w:leader="none" w:pos="247"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Holders of our common stock at the close of business on October 30, 2024, the record date for the Annual Meeting established by our Board, are entitled to receive notice of the Annual Meeting and to vote their shares at the Annual Meeting.</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At the close of business on October 30, 2024, there were 13,816,987 shares of common stock outstanding. Holders of our common stock are entitled to one vote per share.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is the difference between a shareholder of record and a shareholder who holds Nocera shares in street name?</w:t>
      </w:r>
    </w:p>
    <w:p>
      <w:pPr>
        <w:spacing w:after="0" w:line="229" w:lineRule="exact"/>
        <w:rPr>
          <w:sz w:val="20"/>
          <w:szCs w:val="20"/>
          <w:color w:val="auto"/>
        </w:rPr>
      </w:pPr>
    </w:p>
    <w:p>
      <w:pPr>
        <w:ind w:firstLine="8"/>
        <w:spacing w:after="0" w:line="282" w:lineRule="auto"/>
        <w:tabs>
          <w:tab w:leader="none" w:pos="233"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your shares are registered in your name, you are a shareholder of record. If your shares are held in the name of your broker, bank or other holder of record, your shares are held in street name.</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You may examine a list of the shareholders of record as of the close of business on October 30, 2024 for any purpose germane to the Annual Meeting during normal business hours during the 10-day period preceding the date of the meeting at 3F (Building B), No. 185, Sec. 1, Datong Rd., Xizhi Dist., New Taipei City Taiwan 221.</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shares are included on the enclosed proxy card?</w:t>
      </w:r>
    </w:p>
    <w:p>
      <w:pPr>
        <w:spacing w:after="0" w:line="229" w:lineRule="exact"/>
        <w:rPr>
          <w:sz w:val="20"/>
          <w:szCs w:val="20"/>
          <w:color w:val="auto"/>
        </w:rPr>
      </w:pPr>
    </w:p>
    <w:p>
      <w:pPr>
        <w:jc w:val="both"/>
        <w:ind w:firstLine="8"/>
        <w:spacing w:after="0" w:line="258" w:lineRule="auto"/>
        <w:tabs>
          <w:tab w:leader="none" w:pos="249"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 are a shareholder of record only, you will receive one proxy card from Issuer Direct Corporation (“Issuer Direct”) for all shares of Nocera common stock that you hold. If you hold your shares in street name through one or more banks, brokers and/or other holders of record, you will receive proxy materials, together with voting instructions and information regarding the consolidation of your votes, from the third party or parties through which you hold your shares. If you are a shareholder of record and hold additional shares in street name, you will receive proxy materials from Issuer Direct and the third party or parties through which you hold your shares.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are the quorum requirements for the Annual Meeting?</w:t>
      </w:r>
    </w:p>
    <w:p>
      <w:pPr>
        <w:spacing w:after="0" w:line="229" w:lineRule="exact"/>
        <w:rPr>
          <w:sz w:val="20"/>
          <w:szCs w:val="20"/>
          <w:color w:val="auto"/>
        </w:rPr>
      </w:pPr>
    </w:p>
    <w:p>
      <w:pPr>
        <w:jc w:val="both"/>
        <w:ind w:firstLine="8"/>
        <w:spacing w:after="0" w:line="258" w:lineRule="auto"/>
        <w:tabs>
          <w:tab w:leader="none" w:pos="243"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presence at the Annual Meeting, in person or by proxy, of holders having a majority of the total votes entitled to be cast by holders of Nocera common stock at the Annual Meeting constitutes a quorum. Shareholders who participate in the Annual Meeting online at </w:t>
      </w:r>
      <w:r>
        <w:rPr>
          <w:rFonts w:ascii="Times New Roman" w:cs="Times New Roman" w:eastAsia="Times New Roman" w:hAnsi="Times New Roman"/>
          <w:sz w:val="18"/>
          <w:szCs w:val="18"/>
          <w:i w:val="1"/>
          <w:iCs w:val="1"/>
          <w:color w:val="auto"/>
        </w:rPr>
        <w:t xml:space="preserve">www.mountainsharetransfer.com/ncra </w:t>
      </w:r>
      <w:r>
        <w:rPr>
          <w:rFonts w:ascii="Times New Roman" w:cs="Times New Roman" w:eastAsia="Times New Roman" w:hAnsi="Times New Roman"/>
          <w:sz w:val="18"/>
          <w:szCs w:val="18"/>
          <w:color w:val="auto"/>
        </w:rPr>
        <w:t>will be deemed to be in person attendees for purposes of determining whether a quorum has been met. Shares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Nocera common stock represented by proxy will be treated as present at the Annual Meeting for purposes of determining whether there is a quorum, without regard to whether the proxy is marked as casting a vote or abstaining.</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spacing w:after="0"/>
        <w:rPr>
          <w:sz w:val="20"/>
          <w:szCs w:val="20"/>
          <w:color w:val="auto"/>
        </w:rPr>
      </w:pPr>
      <w:r>
        <w:rPr>
          <w:rFonts w:ascii="Times New Roman" w:cs="Times New Roman" w:eastAsia="Times New Roman" w:hAnsi="Times New Roman"/>
          <w:sz w:val="18"/>
          <w:szCs w:val="18"/>
          <w:b w:val="1"/>
          <w:bCs w:val="1"/>
          <w:color w:val="auto"/>
        </w:rPr>
        <w:t>Q: What matters will shareholders vote on at the Annual Meeting?</w:t>
      </w:r>
    </w:p>
    <w:p>
      <w:pPr>
        <w:spacing w:after="0" w:line="229" w:lineRule="exact"/>
        <w:rPr>
          <w:sz w:val="20"/>
          <w:szCs w:val="20"/>
          <w:color w:val="auto"/>
        </w:rPr>
      </w:pPr>
    </w:p>
    <w:p>
      <w:pPr>
        <w:ind w:left="240" w:hanging="232"/>
        <w:spacing w:after="0"/>
        <w:tabs>
          <w:tab w:leader="none" w:pos="24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Shareholders will vote on the following proposals:</w:t>
      </w:r>
    </w:p>
    <w:p>
      <w:pPr>
        <w:spacing w:after="0" w:line="223" w:lineRule="exact"/>
        <w:rPr>
          <w:rFonts w:ascii="Times New Roman" w:cs="Times New Roman" w:eastAsia="Times New Roman" w:hAnsi="Times New Roman"/>
          <w:sz w:val="18"/>
          <w:szCs w:val="18"/>
          <w:color w:val="auto"/>
        </w:rPr>
      </w:pPr>
    </w:p>
    <w:p>
      <w:pPr>
        <w:jc w:val="both"/>
        <w:ind w:left="660" w:hanging="328"/>
        <w:spacing w:after="0" w:line="267" w:lineRule="auto"/>
        <w:tabs>
          <w:tab w:leader="none" w:pos="6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Proposal 1</w:t>
      </w:r>
      <w:r>
        <w:rPr>
          <w:rFonts w:ascii="Times New Roman" w:cs="Times New Roman" w:eastAsia="Times New Roman" w:hAnsi="Times New Roman"/>
          <w:sz w:val="18"/>
          <w:szCs w:val="18"/>
          <w:color w:val="auto"/>
        </w:rPr>
        <w:t>—to elect Gerald H. Lindberg, Sean Filson, Hui-Ying Zhuang, Yiwen Zhang and Song-Yuan Teng to the Board, each as a member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the Board until the Company’s 2025 annual shareholder meeting or until their respective successor shall have been duly elected and qualified (or, if earlier, such director’s removal or resignation from the Board); and</w:t>
      </w:r>
    </w:p>
    <w:p>
      <w:pPr>
        <w:spacing w:after="0" w:line="173"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Proposal 2</w:t>
      </w:r>
      <w:r>
        <w:rPr>
          <w:rFonts w:ascii="Times New Roman" w:cs="Times New Roman" w:eastAsia="Times New Roman" w:hAnsi="Times New Roman"/>
          <w:sz w:val="18"/>
          <w:szCs w:val="18"/>
          <w:color w:val="auto"/>
        </w:rPr>
        <w:t>—to ratify the appointment of Enmore LLP as the independent auditor of the Company for the fiscal year ending December 31, 2024.</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are my voting choices when voting for director nominees and what votes are required to elect directors to the Board?</w:t>
      </w:r>
    </w:p>
    <w:p>
      <w:pPr>
        <w:spacing w:after="0" w:line="225" w:lineRule="exact"/>
        <w:rPr>
          <w:sz w:val="20"/>
          <w:szCs w:val="20"/>
          <w:color w:val="auto"/>
        </w:rPr>
      </w:pPr>
    </w:p>
    <w:p>
      <w:pPr>
        <w:ind w:firstLine="8"/>
        <w:spacing w:after="0" w:line="286" w:lineRule="auto"/>
        <w:tabs>
          <w:tab w:leader="none" w:pos="231"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You may vote in favor of </w:t>
      </w:r>
      <w:r>
        <w:rPr>
          <w:rFonts w:ascii="Times New Roman" w:cs="Times New Roman" w:eastAsia="Times New Roman" w:hAnsi="Times New Roman"/>
          <w:sz w:val="18"/>
          <w:szCs w:val="18"/>
          <w:b w:val="1"/>
          <w:bCs w:val="1"/>
          <w:i w:val="1"/>
          <w:iCs w:val="1"/>
          <w:color w:val="auto"/>
        </w:rPr>
        <w:t>all</w:t>
      </w:r>
      <w:r>
        <w:rPr>
          <w:rFonts w:ascii="Times New Roman" w:cs="Times New Roman" w:eastAsia="Times New Roman" w:hAnsi="Times New Roman"/>
          <w:sz w:val="18"/>
          <w:szCs w:val="18"/>
          <w:color w:val="auto"/>
        </w:rPr>
        <w:t xml:space="preserve"> director nominees, withhold votes as to </w:t>
      </w:r>
      <w:r>
        <w:rPr>
          <w:rFonts w:ascii="Times New Roman" w:cs="Times New Roman" w:eastAsia="Times New Roman" w:hAnsi="Times New Roman"/>
          <w:sz w:val="18"/>
          <w:szCs w:val="18"/>
          <w:b w:val="1"/>
          <w:bCs w:val="1"/>
          <w:i w:val="1"/>
          <w:iCs w:val="1"/>
          <w:color w:val="auto"/>
        </w:rPr>
        <w:t>all</w:t>
      </w:r>
      <w:r>
        <w:rPr>
          <w:rFonts w:ascii="Times New Roman" w:cs="Times New Roman" w:eastAsia="Times New Roman" w:hAnsi="Times New Roman"/>
          <w:sz w:val="18"/>
          <w:szCs w:val="18"/>
          <w:color w:val="auto"/>
        </w:rPr>
        <w:t xml:space="preserve"> director nominees or vote in favor of and withhold votes as to specific director nominees.</w:t>
      </w:r>
    </w:p>
    <w:p>
      <w:pPr>
        <w:spacing w:after="0" w:line="15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 election of each of our director nominees requires the affirmative vote of a plurality of the total number of votes cast by holders of shares of common stock, with each share of common stock representing the right to one vote,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The Board recommends that our shareholders vote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election of each of the director nominees.</w:t>
      </w:r>
    </w:p>
    <w:p>
      <w:pPr>
        <w:spacing w:after="0" w:line="225" w:lineRule="exact"/>
        <w:rPr>
          <w:sz w:val="20"/>
          <w:szCs w:val="20"/>
          <w:color w:val="auto"/>
        </w:rPr>
      </w:pPr>
    </w:p>
    <w:p>
      <w:pPr>
        <w:ind w:firstLine="8"/>
        <w:spacing w:after="0" w:line="286" w:lineRule="auto"/>
        <w:tabs>
          <w:tab w:leader="none" w:pos="245" w:val="left"/>
        </w:tabs>
        <w:numPr>
          <w:ilvl w:val="0"/>
          <w:numId w:val="17"/>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What are my voting choices when voting for the ratification of appointment of Enmore LLP as the independent auditor of the Company for the fiscal year ending December 31, 2024?</w:t>
      </w:r>
    </w:p>
    <w:p>
      <w:pPr>
        <w:spacing w:after="0" w:line="15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 You may vote in favor of the ratification, vote against the ratification or abstain from voting on the ratification.</w:t>
      </w:r>
    </w:p>
    <w:p>
      <w:pPr>
        <w:spacing w:after="0" w:line="225"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Shareholder approval for the appointment of our independent auditor is not required, but the Audit Committee and the Board are submitting the selection of Enmore LLP for ratification in order to obtain the views of our shareholders. The ratification of the appointment of Enmore LLP as the Company’s independent auditors requires the affirmative vote of a majority of the shares present at the meeting in person or by proxy and entitled to vote. If the appointment of Enmore LLP is not ratified, the Audit Committee will reconsider its future selection.</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Board recommends that our shareholders vote FOR the ratification of appointment of Enmore LLP as the independent auditor of the Company for the fiscal year ending December 31,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Could other matters be decided at the Annual Meeting?</w:t>
      </w:r>
    </w:p>
    <w:p>
      <w:pPr>
        <w:spacing w:after="0" w:line="229" w:lineRule="exact"/>
        <w:rPr>
          <w:sz w:val="20"/>
          <w:szCs w:val="20"/>
          <w:color w:val="auto"/>
        </w:rPr>
      </w:pPr>
    </w:p>
    <w:p>
      <w:pPr>
        <w:ind w:firstLine="8"/>
        <w:spacing w:after="0" w:line="282" w:lineRule="auto"/>
        <w:tabs>
          <w:tab w:leader="none" w:pos="23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the date of this Proxy Statement, we do not know of any matters to be raised at the Annual Meeting, other than those referred to in this Proxy Statement.</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If other matters are properly presented at the Annual Meeting for consideration, the officers who have been designated as proxies for the Annual Meeting will have the discretion to vote on those matters for shareholders who have submitted their proxy.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spacing w:after="0"/>
        <w:rPr>
          <w:sz w:val="20"/>
          <w:szCs w:val="20"/>
          <w:color w:val="auto"/>
        </w:rPr>
      </w:pPr>
      <w:r>
        <w:rPr>
          <w:rFonts w:ascii="Times New Roman" w:cs="Times New Roman" w:eastAsia="Times New Roman" w:hAnsi="Times New Roman"/>
          <w:sz w:val="18"/>
          <w:szCs w:val="18"/>
          <w:b w:val="1"/>
          <w:bCs w:val="1"/>
          <w:color w:val="auto"/>
        </w:rPr>
        <w:t>Q: What do I need to do now to vote at the Annual Meeting?</w:t>
      </w:r>
    </w:p>
    <w:p>
      <w:pPr>
        <w:spacing w:after="0" w:line="229" w:lineRule="exact"/>
        <w:rPr>
          <w:sz w:val="20"/>
          <w:szCs w:val="20"/>
          <w:color w:val="auto"/>
        </w:rPr>
      </w:pPr>
    </w:p>
    <w:p>
      <w:pPr>
        <w:ind w:right="20" w:firstLine="8"/>
        <w:spacing w:after="0" w:line="282" w:lineRule="auto"/>
        <w:tabs>
          <w:tab w:leader="none" w:pos="228"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Board is soliciting proxies for use at the Annual Meeting. Shareholders may submit proxies to instruct the designated proxies to vote their shares in any of three ways:</w:t>
      </w:r>
    </w:p>
    <w:p>
      <w:pPr>
        <w:spacing w:after="0" w:line="157" w:lineRule="exact"/>
        <w:rPr>
          <w:rFonts w:ascii="Times New Roman" w:cs="Times New Roman" w:eastAsia="Times New Roman" w:hAnsi="Times New Roman"/>
          <w:sz w:val="18"/>
          <w:szCs w:val="18"/>
          <w:color w:val="auto"/>
        </w:rPr>
      </w:pPr>
    </w:p>
    <w:p>
      <w:pPr>
        <w:ind w:left="1140" w:hanging="565"/>
        <w:spacing w:after="0"/>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Internet: </w:t>
      </w:r>
      <w:r>
        <w:rPr>
          <w:rFonts w:ascii="Times New Roman" w:cs="Times New Roman" w:eastAsia="Times New Roman" w:hAnsi="Times New Roman"/>
          <w:sz w:val="18"/>
          <w:szCs w:val="18"/>
          <w:color w:val="auto"/>
        </w:rPr>
        <w:t>Please visit www.mountainsharetransfer.com/ncra Internet proxy voting is available 24 hours a day, seven days a week until</w:t>
      </w:r>
    </w:p>
    <w:p>
      <w:pPr>
        <w:spacing w:after="0" w:line="31" w:lineRule="exact"/>
        <w:rPr>
          <w:rFonts w:ascii="Times New Roman" w:cs="Times New Roman" w:eastAsia="Times New Roman" w:hAnsi="Times New Roman"/>
          <w:sz w:val="18"/>
          <w:szCs w:val="18"/>
          <w:color w:val="auto"/>
        </w:rPr>
      </w:pPr>
    </w:p>
    <w:p>
      <w:pPr>
        <w:ind w:left="1140"/>
        <w:spacing w:after="0" w:line="185"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ind w:left="1140" w:hanging="565"/>
        <w:spacing w:after="0" w:line="209"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Email: </w:t>
      </w:r>
      <w:r>
        <w:rPr>
          <w:rFonts w:ascii="Times New Roman" w:cs="Times New Roman" w:eastAsia="Times New Roman" w:hAnsi="Times New Roman"/>
          <w:sz w:val="18"/>
          <w:szCs w:val="18"/>
          <w:color w:val="auto"/>
        </w:rPr>
        <w:t>Please email a copy of your signed Proxy Card to: vote@mountainsharetransfer.com Email voting is available 24 hours a day,</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seven days a week until 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ind w:left="1140" w:hanging="565"/>
        <w:spacing w:after="0" w:line="209"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Facsimile: </w:t>
      </w:r>
      <w:r>
        <w:rPr>
          <w:rFonts w:ascii="Times New Roman" w:cs="Times New Roman" w:eastAsia="Times New Roman" w:hAnsi="Times New Roman"/>
          <w:sz w:val="18"/>
          <w:szCs w:val="18"/>
          <w:color w:val="auto"/>
        </w:rPr>
        <w:t>Please fax a copy of your signed Proxy Card to (404)_816-8830. Voting by facsimile is available 24 hours a day, seven days</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 week until 5:00pm Eastern time, on December 15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p>
      <w:pPr>
        <w:spacing w:after="0" w:line="1" w:lineRule="exact"/>
        <w:rPr>
          <w:rFonts w:ascii="Times New Roman" w:cs="Times New Roman" w:eastAsia="Times New Roman" w:hAnsi="Times New Roman"/>
          <w:sz w:val="18"/>
          <w:szCs w:val="18"/>
          <w:color w:val="auto"/>
        </w:rPr>
      </w:pPr>
    </w:p>
    <w:p>
      <w:pPr>
        <w:jc w:val="both"/>
        <w:ind w:left="1140" w:hanging="565"/>
        <w:spacing w:after="0" w:line="254" w:lineRule="auto"/>
        <w:tabs>
          <w:tab w:leader="none" w:pos="114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Mail: </w:t>
      </w:r>
      <w:r>
        <w:rPr>
          <w:rFonts w:ascii="Times New Roman" w:cs="Times New Roman" w:eastAsia="Times New Roman" w:hAnsi="Times New Roman"/>
          <w:sz w:val="18"/>
          <w:szCs w:val="18"/>
          <w:color w:val="auto"/>
        </w:rPr>
        <w:t>If you received printed proxy materials, mailing your signed proxy card or voter instruction card. If you choose to submit your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proxy by mail, simply mark, date and sign your proxy and return it in the postage-paid envelope provided or to Mountain Share Transfer, LLC. c/o 2030 Powers Ferry Road SE, Suite # 212, Atlanta, GA. 30339. The signed proxy must be received prior to the Annual Meeting.</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You may also participate in the Annual Meeting online at </w:t>
      </w:r>
      <w:r>
        <w:rPr>
          <w:rFonts w:ascii="Times New Roman" w:cs="Times New Roman" w:eastAsia="Times New Roman" w:hAnsi="Times New Roman"/>
          <w:sz w:val="18"/>
          <w:szCs w:val="18"/>
          <w:i w:val="1"/>
          <w:iCs w:val="1"/>
          <w:color w:val="auto"/>
        </w:rPr>
        <w:t>www.mountainsharetransfer.com/ncra.</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For shares of common stock held in street name, holders may submit a proxy online or by telephone before the date of the Annual Meeting if their broker, bank and/or other holder of record makes these methods available. If you submit a proxy online or by telephone, </w:t>
      </w:r>
      <w:r>
        <w:rPr>
          <w:rFonts w:ascii="Times New Roman" w:cs="Times New Roman" w:eastAsia="Times New Roman" w:hAnsi="Times New Roman"/>
          <w:sz w:val="18"/>
          <w:szCs w:val="18"/>
          <w:b w:val="1"/>
          <w:bCs w:val="1"/>
          <w:color w:val="auto"/>
        </w:rPr>
        <w:t>DO NOT</w:t>
      </w:r>
      <w:r>
        <w:rPr>
          <w:rFonts w:ascii="Times New Roman" w:cs="Times New Roman" w:eastAsia="Times New Roman" w:hAnsi="Times New Roman"/>
          <w:sz w:val="18"/>
          <w:szCs w:val="18"/>
          <w:color w:val="auto"/>
        </w:rPr>
        <w:t xml:space="preserve"> request and return a printed proxy card from us or from your broker, bank and/or other holder of record. If you hold your shares through a broker, bank and/or other holder of record, follow the voting instructions you receive from your broker, bank and/or other holder of record.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If I hold my shares in street name, will my broker, bank or other holder of record vote my shares for me?</w:t>
      </w:r>
    </w:p>
    <w:p>
      <w:pPr>
        <w:spacing w:after="0" w:line="229" w:lineRule="exact"/>
        <w:rPr>
          <w:sz w:val="20"/>
          <w:szCs w:val="20"/>
          <w:color w:val="auto"/>
        </w:rPr>
      </w:pPr>
    </w:p>
    <w:p>
      <w:pPr>
        <w:ind w:firstLine="8"/>
        <w:spacing w:after="0" w:line="282" w:lineRule="auto"/>
        <w:tabs>
          <w:tab w:leader="none" w:pos="23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you hold your shares of common stock in street name, you must provide your broker, bank and/or other holder of record with instructions in order to vote these shares. If you do not provide voting instructions, whether your shares can be voted depends on the type of item being considered for a vote.</w:t>
      </w:r>
    </w:p>
    <w:p>
      <w:pPr>
        <w:spacing w:after="0" w:line="158"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i w:val="1"/>
          <w:iCs w:val="1"/>
          <w:color w:val="auto"/>
        </w:rPr>
        <w:t xml:space="preserve">Non-Discretionary Items. </w:t>
      </w:r>
      <w:r>
        <w:rPr>
          <w:rFonts w:ascii="Times New Roman" w:cs="Times New Roman" w:eastAsia="Times New Roman" w:hAnsi="Times New Roman"/>
          <w:sz w:val="18"/>
          <w:szCs w:val="18"/>
          <w:color w:val="auto"/>
        </w:rPr>
        <w:t>The election of directors is a non-discretionary item and may</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b w:val="1"/>
          <w:bCs w:val="1"/>
          <w:color w:val="auto"/>
        </w:rPr>
        <w:t>NOT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be voted on by your broker, bank and/or other holder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record absent specific voting instructions from you. If you do not provide your bank, broker and/or other holder of record with voting instructions, your shares of common stock will be represented by “broker non-votes” in the case of this proposal.</w:t>
      </w:r>
    </w:p>
    <w:p>
      <w:pPr>
        <w:spacing w:after="0" w:line="173"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i w:val="1"/>
          <w:iCs w:val="1"/>
          <w:color w:val="auto"/>
        </w:rPr>
        <w:t xml:space="preserve">Discretionary Items. </w:t>
      </w:r>
      <w:r>
        <w:rPr>
          <w:rFonts w:ascii="Times New Roman" w:cs="Times New Roman" w:eastAsia="Times New Roman" w:hAnsi="Times New Roman"/>
          <w:sz w:val="18"/>
          <w:szCs w:val="18"/>
          <w:color w:val="auto"/>
        </w:rPr>
        <w:t>The ratification of appointment of Enmore LLP as the independent auditor of the Company for the fiscal year ending December 31,</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2024 is a discretionary item. Generally, brokers, banks and/or other holders of record that do not receive voting instructions from you may vote on these proposals in their discretion and these votes will be counted for purposes of determining a quorum.</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ind w:firstLine="8"/>
        <w:spacing w:after="0" w:line="286" w:lineRule="auto"/>
        <w:tabs>
          <w:tab w:leader="none" w:pos="253" w:val="left"/>
        </w:tabs>
        <w:numPr>
          <w:ilvl w:val="0"/>
          <w:numId w:val="21"/>
        </w:numPr>
        <w:rPr>
          <w:rFonts w:ascii="Times New Roman" w:cs="Times New Roman" w:eastAsia="Times New Roman" w:hAnsi="Times New Roman"/>
          <w:sz w:val="18"/>
          <w:szCs w:val="18"/>
          <w:b w:val="1"/>
          <w:bCs w:val="1"/>
          <w:color w:val="auto"/>
        </w:rPr>
      </w:pPr>
      <w:r>
        <w:rPr>
          <w:rFonts w:ascii="Times New Roman" w:cs="Times New Roman" w:eastAsia="Times New Roman" w:hAnsi="Times New Roman"/>
          <w:sz w:val="18"/>
          <w:szCs w:val="18"/>
          <w:b w:val="1"/>
          <w:bCs w:val="1"/>
          <w:color w:val="auto"/>
        </w:rPr>
        <w:t>What effect do abstentions and broker non-votes have on quorum requirements and the voting results for each proposal to be voted on at the Annual Meeting and are there dissenters’ rights?</w:t>
      </w:r>
    </w:p>
    <w:p>
      <w:pPr>
        <w:spacing w:after="0" w:line="159" w:lineRule="exact"/>
        <w:rPr>
          <w:sz w:val="20"/>
          <w:szCs w:val="20"/>
          <w:color w:val="auto"/>
        </w:rPr>
      </w:pPr>
    </w:p>
    <w:p>
      <w:pPr>
        <w:jc w:val="both"/>
        <w:ind w:firstLine="8"/>
        <w:spacing w:after="0" w:line="256" w:lineRule="auto"/>
        <w:tabs>
          <w:tab w:leader="none" w:pos="230"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Abstentions and shares represented by broker non-votes are counted as present for purposes of determining a quorum. Abstentions are treated as shares present and entitled to vote and, as a result, have the same effect as a vote against any proposal for which the voting standard is based on the number of shares present at the Annual Meeting and have no impact on the vote on any proposal for which the vote standard is based on the votes cast at the meeting (e.g., the election of directors). Shares represented by broker non-votes are not treated as shares entitled to vote and, as a result, have no effect on the outcome of any of the proposals to be voted on by shareholders at the Annual Meeting. Shareholders will not be entitled to dissenters’ rights with respect to any matter to be considered at the Annual Meeting.</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Can I change my vote or revoke my proxy?</w:t>
      </w:r>
    </w:p>
    <w:p>
      <w:pPr>
        <w:spacing w:after="0" w:line="229" w:lineRule="exact"/>
        <w:rPr>
          <w:sz w:val="20"/>
          <w:szCs w:val="20"/>
          <w:color w:val="auto"/>
        </w:rPr>
      </w:pPr>
    </w:p>
    <w:p>
      <w:pPr>
        <w:ind w:left="240" w:hanging="232"/>
        <w:spacing w:after="0"/>
        <w:tabs>
          <w:tab w:leader="none" w:pos="24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Yes. If you are a shareholder of record, you may change your vote or revoke your proxy at any time before the polls close at the Annual Meeting by:</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submitting a later-dated proxy relating to the same shares online, by telephone or by mail before the date of the Annual Meeting;</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delivering a written notice, bearing a date later than your proxy, stating that you revoke the proxy; or</w:t>
      </w:r>
    </w:p>
    <w:p>
      <w:pPr>
        <w:spacing w:after="0" w:line="223" w:lineRule="exact"/>
        <w:rPr>
          <w:rFonts w:ascii="Times New Roman" w:cs="Times New Roman" w:eastAsia="Times New Roman" w:hAnsi="Times New Roman"/>
          <w:sz w:val="18"/>
          <w:szCs w:val="18"/>
          <w:color w:val="auto"/>
        </w:rPr>
      </w:pPr>
    </w:p>
    <w:p>
      <w:pPr>
        <w:ind w:left="660" w:hanging="328"/>
        <w:spacing w:after="0" w:line="284" w:lineRule="auto"/>
        <w:tabs>
          <w:tab w:leader="none" w:pos="660"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participating in the Annual Meeting and voting online at that time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(although virtual attendance at the Annual Meeting will not, by itself, change your vote or revoke a proxy).</w:t>
      </w:r>
    </w:p>
    <w:p>
      <w:pPr>
        <w:spacing w:after="0" w:line="156" w:lineRule="exact"/>
        <w:rPr>
          <w:sz w:val="20"/>
          <w:szCs w:val="20"/>
          <w:color w:val="auto"/>
        </w:rPr>
      </w:pPr>
    </w:p>
    <w:p>
      <w:pPr>
        <w:jc w:val="both"/>
        <w:ind w:right="20"/>
        <w:spacing w:after="0" w:line="268" w:lineRule="auto"/>
        <w:rPr>
          <w:sz w:val="20"/>
          <w:szCs w:val="20"/>
          <w:color w:val="auto"/>
        </w:rPr>
      </w:pPr>
      <w:r>
        <w:rPr>
          <w:rFonts w:ascii="Times New Roman" w:cs="Times New Roman" w:eastAsia="Times New Roman" w:hAnsi="Times New Roman"/>
          <w:sz w:val="18"/>
          <w:szCs w:val="18"/>
          <w:b w:val="1"/>
          <w:bCs w:val="1"/>
          <w:color w:val="auto"/>
        </w:rPr>
        <w:t>To change your vote or revoke your proxy before the date of the Annual Meeting, follow the instructions provided on your Notice, proxy card or proxy materials to do so online or by telephone, or send a written notice or a new proxy card to Mountain Share Transfer, LLC., 2030 Powers Ferry Road SE, Suite # 212, Atlanta, GA. 30339.</w:t>
      </w:r>
    </w:p>
    <w:p>
      <w:pPr>
        <w:spacing w:after="0" w:line="17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If you hold your shares of common stock through a broker, bank and/or other holder of record, follow the instructions that you receive from your broker, bank and/or other holder of record if you wish to change your vote or revoke your proxy.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What if I do not specify a choice for a matter when returning a proxy?</w:t>
      </w:r>
    </w:p>
    <w:p>
      <w:pPr>
        <w:spacing w:after="0" w:line="225" w:lineRule="exact"/>
        <w:rPr>
          <w:sz w:val="20"/>
          <w:szCs w:val="20"/>
          <w:color w:val="auto"/>
        </w:rPr>
      </w:pPr>
    </w:p>
    <w:p>
      <w:pPr>
        <w:ind w:right="20" w:firstLine="8"/>
        <w:spacing w:after="0" w:line="286" w:lineRule="auto"/>
        <w:tabs>
          <w:tab w:leader="none" w:pos="245"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you do not give specific instructions, proxies that are signed and returned will be voted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election of all director nominees and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xml:space="preserve"> the ratification of appointment of Enmore LLP as the independent auditor of the Company for the fiscal year ending December 31, 2024.</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How are proxies solicited and who bears the related costs?</w:t>
      </w:r>
    </w:p>
    <w:p>
      <w:pPr>
        <w:spacing w:after="0" w:line="229" w:lineRule="exact"/>
        <w:rPr>
          <w:sz w:val="20"/>
          <w:szCs w:val="20"/>
          <w:color w:val="auto"/>
        </w:rPr>
      </w:pPr>
    </w:p>
    <w:p>
      <w:pPr>
        <w:jc w:val="both"/>
        <w:ind w:firstLine="8"/>
        <w:spacing w:after="0" w:line="261" w:lineRule="auto"/>
        <w:tabs>
          <w:tab w:leader="none" w:pos="239"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Nocera bears all expenses incurred in connection with the solicitation of proxies. Following the initial mailing of the Notice and proxy materials, we will request brokers, banks and other holders of record to forward copies of these materials to persons for whom they hold shares of common stock and to request authority for the exercise of proxies. In such cases, Nocera, upon the request of these holders of record, will reimburse these parties for their reasonable expenses.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8"/>
          <w:szCs w:val="18"/>
          <w:b w:val="1"/>
          <w:bCs w:val="1"/>
          <w:color w:val="auto"/>
        </w:rPr>
        <w:t>Q: What should I do if I have questions regarding the Annual Meeting?</w:t>
      </w:r>
    </w:p>
    <w:p>
      <w:pPr>
        <w:spacing w:after="0" w:line="229" w:lineRule="exact"/>
        <w:rPr>
          <w:sz w:val="20"/>
          <w:szCs w:val="20"/>
          <w:color w:val="auto"/>
        </w:rPr>
      </w:pPr>
    </w:p>
    <w:p>
      <w:pPr>
        <w:jc w:val="both"/>
        <w:ind w:firstLine="8"/>
        <w:spacing w:after="0" w:line="266" w:lineRule="auto"/>
        <w:tabs>
          <w:tab w:leader="none" w:pos="225"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If you have any questions about the Annual Meeting, the various proposals to be voted on at the Annual Meeting and/or how to participate in the Annual Meeting online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and vote at that time and/or would like copies of any of the documents referred to in this Proxy Statement, contact Nocera Investor Relations at Jim Hock of Hanover International, Inc. at (818) 516-3432.</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Q: Where can I find more information about Nocera?</w:t>
      </w:r>
    </w:p>
    <w:p>
      <w:pPr>
        <w:spacing w:after="0" w:line="229" w:lineRule="exact"/>
        <w:rPr>
          <w:sz w:val="20"/>
          <w:szCs w:val="20"/>
          <w:color w:val="auto"/>
        </w:rPr>
      </w:pPr>
    </w:p>
    <w:p>
      <w:pPr>
        <w:jc w:val="both"/>
        <w:ind w:firstLine="8"/>
        <w:spacing w:after="0" w:line="255" w:lineRule="auto"/>
        <w:tabs>
          <w:tab w:leader="none" w:pos="249"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Nocera originally filed its Annual Report on Form 10-K for the fiscal year ended December 31, 2023 with the SEC on April 1, 2024, which was subsequently amended on October 7, 2024. That report, together with other corporate filings are available for your review on the Internet by visiting the SEC’s website located at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 xml:space="preserve">. Copies of any reports, including exhibits, will be furnished to shareholders upon written request. All written requests should be directed to: Nocera Secretary, 3F (Building B), No. 185, Sec. 1, Datong Rd., Xizhi Dist., New Taipei City Taiwan 221. We also make available free of charge on or through our website, </w:t>
      </w:r>
      <w:r>
        <w:rPr>
          <w:rFonts w:ascii="Times New Roman" w:cs="Times New Roman" w:eastAsia="Times New Roman" w:hAnsi="Times New Roman"/>
          <w:sz w:val="18"/>
          <w:szCs w:val="18"/>
          <w:i w:val="1"/>
          <w:iCs w:val="1"/>
          <w:color w:val="auto"/>
        </w:rPr>
        <w:t>www.nocera.company</w:t>
      </w:r>
      <w:r>
        <w:rPr>
          <w:rFonts w:ascii="Times New Roman" w:cs="Times New Roman" w:eastAsia="Times New Roman" w:hAnsi="Times New Roman"/>
          <w:sz w:val="18"/>
          <w:szCs w:val="18"/>
          <w:color w:val="auto"/>
        </w:rPr>
        <w:t>, our Annual Reports on Form 10-K, Quarterly Reports on Form 10-Q, Current Reports on Form 8-K and all amendments to such reports filed pursuant to Section 13(a) or 15(d) of the Exchange Act as soon as reasonably practicable after filing.</w:t>
      </w:r>
    </w:p>
    <w:p>
      <w:pPr>
        <w:spacing w:after="0" w:line="18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We are subject to the informational requirements of the Securities Exchange Act of 1934, as amended (the “Exchange Act”), which requires that we file reports, proxy statements and other information with the SEC. The SEC maintains a website on the Internet that contains reports, proxy and information statements and other information regarding registrants, including us, that file electronically with the SEC. The SEC’s website address is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 In addition, our Exchange Act filings may be inspected and copied at the public reference facilities of the SEC located at 100 F Street, N.E.,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Washington, D.C. 20549. Copies of the material may also be obtained upon request and payment of the appropriate fee from the Public Reference Section of the SEC located at 100 F Street, N.E., Washington, D.C. 20549.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ind w:left="3260"/>
        <w:spacing w:after="0"/>
        <w:rPr>
          <w:sz w:val="20"/>
          <w:szCs w:val="20"/>
          <w:color w:val="auto"/>
        </w:rPr>
      </w:pPr>
      <w:r>
        <w:rPr>
          <w:rFonts w:ascii="Times New Roman" w:cs="Times New Roman" w:eastAsia="Times New Roman" w:hAnsi="Times New Roman"/>
          <w:sz w:val="18"/>
          <w:szCs w:val="18"/>
          <w:b w:val="1"/>
          <w:bCs w:val="1"/>
          <w:color w:val="auto"/>
        </w:rPr>
        <w:t>MATTERS TO COME BEFORE THE ANNUAL MEETING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PROPOSAL No. 1: ELECTION OF DIRECTORS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Nominees</w:t>
      </w:r>
    </w:p>
    <w:p>
      <w:pPr>
        <w:spacing w:after="0" w:line="229" w:lineRule="exact"/>
        <w:rPr>
          <w:sz w:val="20"/>
          <w:szCs w:val="20"/>
          <w:color w:val="auto"/>
        </w:rPr>
      </w:pPr>
    </w:p>
    <w:p>
      <w:pPr>
        <w:jc w:val="both"/>
        <w:ind w:firstLine="500"/>
        <w:spacing w:after="0" w:line="282" w:lineRule="auto"/>
        <w:rPr>
          <w:sz w:val="20"/>
          <w:szCs w:val="20"/>
          <w:color w:val="auto"/>
        </w:rPr>
      </w:pPr>
      <w:r>
        <w:rPr>
          <w:rFonts w:ascii="Times New Roman" w:cs="Times New Roman" w:eastAsia="Times New Roman" w:hAnsi="Times New Roman"/>
          <w:sz w:val="18"/>
          <w:szCs w:val="18"/>
          <w:color w:val="auto"/>
        </w:rPr>
        <w:t>At the Annual Meeting, five directors will be elected to serve a one-year term or until the next annual shareholders meeting or until such director’s successor shall have been elected and qualified following such director’s earlier death, resignation or removal.</w:t>
      </w:r>
    </w:p>
    <w:p>
      <w:pPr>
        <w:spacing w:after="0" w:line="162" w:lineRule="exact"/>
        <w:rPr>
          <w:sz w:val="20"/>
          <w:szCs w:val="20"/>
          <w:color w:val="auto"/>
        </w:rPr>
      </w:pPr>
    </w:p>
    <w:p>
      <w:pPr>
        <w:jc w:val="both"/>
        <w:ind w:firstLine="506"/>
        <w:spacing w:after="0" w:line="261" w:lineRule="auto"/>
        <w:rPr>
          <w:sz w:val="20"/>
          <w:szCs w:val="20"/>
          <w:color w:val="auto"/>
        </w:rPr>
      </w:pPr>
      <w:r>
        <w:rPr>
          <w:rFonts w:ascii="Times New Roman" w:cs="Times New Roman" w:eastAsia="Times New Roman" w:hAnsi="Times New Roman"/>
          <w:sz w:val="18"/>
          <w:szCs w:val="18"/>
          <w:color w:val="auto"/>
        </w:rPr>
        <w:t>Our Nominating and Corporate Governance Committee recommended, and our Board nominated Gerald H. Lindberg, Sean Filson, Hui-Ying Zhuang, Yiwen Zhang and Song-Yuan Teng as nominees for election as directors at the 2024 Annual Meeting. Our management has no reason to believe that any nominee will be unable to serve. If elected at the Annual Meeting, each of these nominees would serve until the annual meeting of shareholders to be held in 2025 or until his successor has been duly elected and qualified, or until the director’s earlier death, resignation or removal.</w:t>
      </w:r>
    </w:p>
    <w:p>
      <w:pPr>
        <w:spacing w:after="0" w:line="178" w:lineRule="exact"/>
        <w:rPr>
          <w:sz w:val="20"/>
          <w:szCs w:val="20"/>
          <w:color w:val="auto"/>
        </w:rPr>
      </w:pPr>
    </w:p>
    <w:p>
      <w:pPr>
        <w:jc w:val="both"/>
        <w:ind w:right="20" w:firstLine="506"/>
        <w:spacing w:after="0" w:line="284" w:lineRule="auto"/>
        <w:rPr>
          <w:sz w:val="20"/>
          <w:szCs w:val="20"/>
          <w:color w:val="auto"/>
        </w:rPr>
      </w:pPr>
      <w:r>
        <w:rPr>
          <w:rFonts w:ascii="Times New Roman" w:cs="Times New Roman" w:eastAsia="Times New Roman" w:hAnsi="Times New Roman"/>
          <w:sz w:val="18"/>
          <w:szCs w:val="18"/>
          <w:color w:val="auto"/>
        </w:rPr>
        <w:t>For details regarding the qualifications and the specific experiences, qualifications and skills of each of our director nominees, see “</w:t>
      </w:r>
      <w:r>
        <w:rPr>
          <w:rFonts w:ascii="Times New Roman" w:cs="Times New Roman" w:eastAsia="Times New Roman" w:hAnsi="Times New Roman"/>
          <w:sz w:val="18"/>
          <w:szCs w:val="18"/>
          <w:i w:val="1"/>
          <w:iCs w:val="1"/>
          <w:color w:val="auto"/>
        </w:rPr>
        <w:t>Directors and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Executive Officers</w:t>
      </w:r>
      <w:r>
        <w:rPr>
          <w:rFonts w:ascii="Times New Roman" w:cs="Times New Roman" w:eastAsia="Times New Roman" w:hAnsi="Times New Roman"/>
          <w:sz w:val="18"/>
          <w:szCs w:val="18"/>
          <w:color w:val="auto"/>
        </w:rPr>
        <w:t>” on page 11 of this Proxy Statement.</w:t>
      </w:r>
    </w:p>
    <w:p>
      <w:pPr>
        <w:spacing w:after="0" w:line="160" w:lineRule="exact"/>
        <w:rPr>
          <w:sz w:val="20"/>
          <w:szCs w:val="20"/>
          <w:color w:val="auto"/>
        </w:rPr>
      </w:pPr>
    </w:p>
    <w:p>
      <w:pPr>
        <w:jc w:val="both"/>
        <w:ind w:firstLine="506"/>
        <w:spacing w:after="0" w:line="266" w:lineRule="auto"/>
        <w:rPr>
          <w:sz w:val="20"/>
          <w:szCs w:val="20"/>
          <w:color w:val="auto"/>
        </w:rPr>
      </w:pPr>
      <w:r>
        <w:rPr>
          <w:rFonts w:ascii="Times New Roman" w:cs="Times New Roman" w:eastAsia="Times New Roman" w:hAnsi="Times New Roman"/>
          <w:sz w:val="18"/>
          <w:szCs w:val="18"/>
          <w:color w:val="auto"/>
        </w:rPr>
        <w:t>Each nominee has expressed his willingness to serve as a director if elected, and we know of no reason why any nominee would be unable to serve. If a nominee becomes unavailable before the election, the proxies may be voted for one or more substitute nominees designated by the Board, or the Board may decide to reduce the number of directors.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Required Vote</w:t>
      </w:r>
    </w:p>
    <w:p>
      <w:pPr>
        <w:spacing w:after="0" w:line="225" w:lineRule="exact"/>
        <w:rPr>
          <w:sz w:val="20"/>
          <w:szCs w:val="20"/>
          <w:color w:val="auto"/>
        </w:rPr>
      </w:pPr>
    </w:p>
    <w:p>
      <w:pPr>
        <w:jc w:val="both"/>
        <w:ind w:firstLine="648"/>
        <w:spacing w:after="0" w:line="262" w:lineRule="auto"/>
        <w:rPr>
          <w:sz w:val="20"/>
          <w:szCs w:val="20"/>
          <w:color w:val="auto"/>
        </w:rPr>
      </w:pPr>
      <w:r>
        <w:rPr>
          <w:rFonts w:ascii="Times New Roman" w:cs="Times New Roman" w:eastAsia="Times New Roman" w:hAnsi="Times New Roman"/>
          <w:sz w:val="18"/>
          <w:szCs w:val="18"/>
          <w:color w:val="auto"/>
        </w:rPr>
        <w:t>You may vote “</w:t>
      </w:r>
      <w:r>
        <w:rPr>
          <w:rFonts w:ascii="Times New Roman" w:cs="Times New Roman" w:eastAsia="Times New Roman" w:hAnsi="Times New Roman"/>
          <w:sz w:val="18"/>
          <w:szCs w:val="18"/>
          <w:b w:val="1"/>
          <w:bCs w:val="1"/>
          <w:color w:val="auto"/>
        </w:rPr>
        <w:t>FOR</w:t>
      </w:r>
      <w:r>
        <w:rPr>
          <w:rFonts w:ascii="Times New Roman" w:cs="Times New Roman" w:eastAsia="Times New Roman" w:hAnsi="Times New Roman"/>
          <w:sz w:val="18"/>
          <w:szCs w:val="18"/>
          <w:color w:val="auto"/>
        </w:rPr>
        <w:t>,” “</w:t>
      </w:r>
      <w:r>
        <w:rPr>
          <w:rFonts w:ascii="Times New Roman" w:cs="Times New Roman" w:eastAsia="Times New Roman" w:hAnsi="Times New Roman"/>
          <w:sz w:val="18"/>
          <w:szCs w:val="18"/>
          <w:b w:val="1"/>
          <w:bCs w:val="1"/>
          <w:color w:val="auto"/>
        </w:rPr>
        <w:t>AGAINST</w:t>
      </w:r>
      <w:r>
        <w:rPr>
          <w:rFonts w:ascii="Times New Roman" w:cs="Times New Roman" w:eastAsia="Times New Roman" w:hAnsi="Times New Roman"/>
          <w:sz w:val="18"/>
          <w:szCs w:val="18"/>
          <w:color w:val="auto"/>
        </w:rPr>
        <w:t>” or “</w:t>
      </w:r>
      <w:r>
        <w:rPr>
          <w:rFonts w:ascii="Times New Roman" w:cs="Times New Roman" w:eastAsia="Times New Roman" w:hAnsi="Times New Roman"/>
          <w:sz w:val="18"/>
          <w:szCs w:val="18"/>
          <w:b w:val="1"/>
          <w:bCs w:val="1"/>
          <w:color w:val="auto"/>
        </w:rPr>
        <w:t>ABSTAIN</w:t>
      </w:r>
      <w:r>
        <w:rPr>
          <w:rFonts w:ascii="Times New Roman" w:cs="Times New Roman" w:eastAsia="Times New Roman" w:hAnsi="Times New Roman"/>
          <w:sz w:val="18"/>
          <w:szCs w:val="18"/>
          <w:color w:val="auto"/>
        </w:rPr>
        <w:t>” for each director nominee. Directors are elected by a plurality of the votes properly cast in person or by proxy. If a quorum is present and voting, the five (5) nominees receiving the highest number of affirmative votes will be elected. A “plurality vote” means that the winning candidate only needs to get more votes than a competing candidate. Because our directors are unopposed, he only needs one vote to be elected.</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amended and restated articles of incorporation (“Articles of Incorporation”) do not permit shareholders to cumulate their votes for the election of directors. Shares represented by executed proxies will be voted if authority is not withheld for the five (5) nominees’ election. Abstentions and broker non-votes will not affect the outcome of the election of directors.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Broker non-votes and abstentions will not affect the outcome of the election of directors, although they will be counted for purposes of determining whether there is a quorum.</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RECOMMENDATION OF THE BOARD OF DIRECTORS</w:t>
      </w:r>
    </w:p>
    <w:p>
      <w:pPr>
        <w:spacing w:after="0" w:line="225"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THE BOARD OF DIRECTORS UNANIMOUSLY RECOMMENDS A VOTE “FOR” THE ELECTION OF EACH NOMINEE UNDER PROPOSAL No. 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tbl>
      <w:tblPr>
        <w:tblLayout w:type="fixed"/>
        <w:tblInd w:w="0" w:type="dxa"/>
        <w:tblCellMar>
          <w:top w:w="0" w:type="dxa"/>
          <w:left w:w="0" w:type="dxa"/>
          <w:bottom w:w="0" w:type="dxa"/>
          <w:right w:w="0" w:type="dxa"/>
        </w:tblCellMar>
      </w:tblPr>
      <w:tr>
        <w:trPr>
          <w:trHeight w:val="238"/>
        </w:trPr>
        <w:tc>
          <w:tcPr>
            <w:tcW w:w="3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5820" w:type="dxa"/>
            <w:vAlign w:val="bottom"/>
            <w:gridSpan w:val="4"/>
          </w:tcPr>
          <w:p>
            <w:pPr>
              <w:ind w:left="440"/>
              <w:spacing w:after="0"/>
              <w:rPr>
                <w:sz w:val="20"/>
                <w:szCs w:val="20"/>
                <w:color w:val="auto"/>
              </w:rPr>
            </w:pPr>
            <w:r>
              <w:rPr>
                <w:rFonts w:ascii="Times New Roman" w:cs="Times New Roman" w:eastAsia="Times New Roman" w:hAnsi="Times New Roman"/>
                <w:sz w:val="18"/>
                <w:szCs w:val="18"/>
                <w:b w:val="1"/>
                <w:bCs w:val="1"/>
                <w:color w:val="auto"/>
              </w:rPr>
              <w:t>DIRECTORS AND EXECUTIVE OFFICERS</w:t>
            </w:r>
          </w:p>
        </w:tc>
        <w:tc>
          <w:tcPr>
            <w:tcW w:w="2020" w:type="dxa"/>
            <w:vAlign w:val="bottom"/>
          </w:tcPr>
          <w:p>
            <w:pPr>
              <w:spacing w:after="0"/>
              <w:rPr>
                <w:sz w:val="20"/>
                <w:szCs w:val="20"/>
                <w:color w:val="auto"/>
              </w:rPr>
            </w:pPr>
          </w:p>
        </w:tc>
      </w:tr>
      <w:tr>
        <w:trPr>
          <w:trHeight w:val="432"/>
        </w:trPr>
        <w:tc>
          <w:tcPr>
            <w:tcW w:w="9220" w:type="dxa"/>
            <w:vAlign w:val="bottom"/>
            <w:gridSpan w:val="6"/>
          </w:tcPr>
          <w:p>
            <w:pPr>
              <w:ind w:left="660"/>
              <w:spacing w:after="0"/>
              <w:rPr>
                <w:sz w:val="20"/>
                <w:szCs w:val="20"/>
                <w:color w:val="auto"/>
              </w:rPr>
            </w:pPr>
            <w:r>
              <w:rPr>
                <w:rFonts w:ascii="Times New Roman" w:cs="Times New Roman" w:eastAsia="Times New Roman" w:hAnsi="Times New Roman"/>
                <w:sz w:val="18"/>
                <w:szCs w:val="18"/>
                <w:color w:val="auto"/>
              </w:rPr>
              <w:t>Set forth below is information regarding our directors and executive officers as of November 5, 2024.</w:t>
            </w:r>
          </w:p>
        </w:tc>
        <w:tc>
          <w:tcPr>
            <w:tcW w:w="2020" w:type="dxa"/>
            <w:vAlign w:val="bottom"/>
          </w:tcPr>
          <w:p>
            <w:pPr>
              <w:spacing w:after="0"/>
              <w:rPr>
                <w:sz w:val="24"/>
                <w:szCs w:val="24"/>
                <w:color w:val="auto"/>
              </w:rPr>
            </w:pPr>
          </w:p>
        </w:tc>
      </w:tr>
      <w:tr>
        <w:trPr>
          <w:trHeight w:val="432"/>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Name</w:t>
            </w:r>
          </w:p>
        </w:tc>
        <w:tc>
          <w:tcPr>
            <w:tcW w:w="100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Age</w:t>
            </w: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Position</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Director Since</w:t>
            </w:r>
          </w:p>
        </w:tc>
      </w:tr>
      <w:tr>
        <w:trPr>
          <w:trHeight w:val="191"/>
        </w:trPr>
        <w:tc>
          <w:tcPr>
            <w:tcW w:w="328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Andy Ching-An Jin</w:t>
            </w:r>
          </w:p>
        </w:tc>
        <w:tc>
          <w:tcPr>
            <w:tcW w:w="120" w:type="dxa"/>
            <w:vAlign w:val="bottom"/>
            <w:tcBorders>
              <w:top w:val="single" w:sz="8" w:color="EEEEEE"/>
            </w:tcBorders>
            <w:shd w:val="clear" w:color="auto" w:fill="EEEEEE"/>
          </w:tcPr>
          <w:p>
            <w:pPr>
              <w:spacing w:after="0"/>
              <w:rPr>
                <w:sz w:val="16"/>
                <w:szCs w:val="16"/>
                <w:color w:val="auto"/>
              </w:rPr>
            </w:pPr>
          </w:p>
        </w:tc>
        <w:tc>
          <w:tcPr>
            <w:tcW w:w="90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w w:val="99"/>
              </w:rPr>
              <w:t>43</w:t>
            </w:r>
          </w:p>
        </w:tc>
        <w:tc>
          <w:tcPr>
            <w:tcW w:w="100" w:type="dxa"/>
            <w:vAlign w:val="bottom"/>
            <w:tcBorders>
              <w:top w:val="single" w:sz="8" w:color="EEEEEE"/>
            </w:tcBorders>
            <w:shd w:val="clear" w:color="auto" w:fill="EEEEEE"/>
          </w:tcPr>
          <w:p>
            <w:pPr>
              <w:spacing w:after="0"/>
              <w:rPr>
                <w:sz w:val="16"/>
                <w:szCs w:val="16"/>
                <w:color w:val="auto"/>
              </w:rPr>
            </w:pPr>
          </w:p>
        </w:tc>
        <w:tc>
          <w:tcPr>
            <w:tcW w:w="4720" w:type="dxa"/>
            <w:vAlign w:val="bottom"/>
            <w:tcBorders>
              <w:top w:val="single" w:sz="8" w:color="auto"/>
            </w:tcBorders>
            <w:shd w:val="clear" w:color="auto" w:fill="EEEEEE"/>
          </w:tcPr>
          <w:p>
            <w:pPr>
              <w:spacing w:after="0" w:line="191" w:lineRule="exact"/>
              <w:rPr>
                <w:sz w:val="20"/>
                <w:szCs w:val="20"/>
                <w:color w:val="auto"/>
              </w:rPr>
            </w:pPr>
            <w:r>
              <w:rPr>
                <w:rFonts w:ascii="Times New Roman" w:cs="Times New Roman" w:eastAsia="Times New Roman" w:hAnsi="Times New Roman"/>
                <w:sz w:val="18"/>
                <w:szCs w:val="18"/>
                <w:color w:val="auto"/>
              </w:rPr>
              <w:t>Chief Executive Officer</w:t>
            </w:r>
          </w:p>
        </w:tc>
        <w:tc>
          <w:tcPr>
            <w:tcW w:w="100" w:type="dxa"/>
            <w:vAlign w:val="bottom"/>
            <w:tcBorders>
              <w:top w:val="single" w:sz="8" w:color="EEEEEE"/>
            </w:tcBorders>
            <w:shd w:val="clear" w:color="auto" w:fill="EEEEEE"/>
          </w:tcPr>
          <w:p>
            <w:pPr>
              <w:spacing w:after="0"/>
              <w:rPr>
                <w:sz w:val="16"/>
                <w:szCs w:val="16"/>
                <w:color w:val="auto"/>
              </w:rPr>
            </w:pPr>
          </w:p>
        </w:tc>
        <w:tc>
          <w:tcPr>
            <w:tcW w:w="2020" w:type="dxa"/>
            <w:vAlign w:val="bottom"/>
            <w:tcBorders>
              <w:top w:val="single" w:sz="8" w:color="auto"/>
            </w:tcBorders>
            <w:shd w:val="clear" w:color="auto" w:fill="EEEEEE"/>
          </w:tcPr>
          <w:p>
            <w:pPr>
              <w:jc w:val="center"/>
              <w:spacing w:after="0" w:line="191"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3280" w:type="dxa"/>
            <w:vAlign w:val="bottom"/>
            <w:shd w:val="clear" w:color="auto" w:fill="EEEEEE"/>
          </w:tcPr>
          <w:p>
            <w:pPr>
              <w:spacing w:after="0"/>
              <w:rPr>
                <w:sz w:val="20"/>
                <w:szCs w:val="20"/>
                <w:color w:val="auto"/>
              </w:rPr>
            </w:pPr>
          </w:p>
        </w:tc>
        <w:tc>
          <w:tcPr>
            <w:tcW w:w="120" w:type="dxa"/>
            <w:vAlign w:val="bottom"/>
            <w:shd w:val="clear" w:color="auto" w:fill="EEEEEE"/>
          </w:tcPr>
          <w:p>
            <w:pPr>
              <w:spacing w:after="0"/>
              <w:rPr>
                <w:sz w:val="20"/>
                <w:szCs w:val="20"/>
                <w:color w:val="auto"/>
              </w:rPr>
            </w:pPr>
          </w:p>
        </w:tc>
        <w:tc>
          <w:tcPr>
            <w:tcW w:w="900" w:type="dxa"/>
            <w:vAlign w:val="bottom"/>
            <w:shd w:val="clear" w:color="auto" w:fill="EEEEEE"/>
          </w:tcPr>
          <w:p>
            <w:pPr>
              <w:spacing w:after="0"/>
              <w:rPr>
                <w:sz w:val="20"/>
                <w:szCs w:val="20"/>
                <w:color w:val="auto"/>
              </w:rPr>
            </w:pPr>
          </w:p>
        </w:tc>
        <w:tc>
          <w:tcPr>
            <w:tcW w:w="100" w:type="dxa"/>
            <w:vAlign w:val="bottom"/>
            <w:shd w:val="clear" w:color="auto" w:fill="EEEEEE"/>
          </w:tcPr>
          <w:p>
            <w:pPr>
              <w:spacing w:after="0"/>
              <w:rPr>
                <w:sz w:val="20"/>
                <w:szCs w:val="20"/>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020" w:type="dxa"/>
            <w:vAlign w:val="bottom"/>
            <w:shd w:val="clear" w:color="auto" w:fill="EEEEEE"/>
          </w:tcPr>
          <w:p>
            <w:pPr>
              <w:spacing w:after="0"/>
              <w:rPr>
                <w:sz w:val="20"/>
                <w:szCs w:val="20"/>
                <w:color w:val="auto"/>
              </w:rPr>
            </w:pPr>
          </w:p>
        </w:tc>
      </w:tr>
      <w:tr>
        <w:trPr>
          <w:trHeight w:val="198"/>
        </w:trPr>
        <w:tc>
          <w:tcPr>
            <w:tcW w:w="340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Shun-Chih (“Jimmy”) Chuang</w:t>
            </w:r>
          </w:p>
        </w:tc>
        <w:tc>
          <w:tcPr>
            <w:tcW w:w="90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w w:val="99"/>
              </w:rPr>
              <w:t>35</w:t>
            </w:r>
          </w:p>
        </w:tc>
        <w:tc>
          <w:tcPr>
            <w:tcW w:w="100" w:type="dxa"/>
            <w:vAlign w:val="bottom"/>
          </w:tcPr>
          <w:p>
            <w:pPr>
              <w:spacing w:after="0"/>
              <w:rPr>
                <w:sz w:val="17"/>
                <w:szCs w:val="17"/>
                <w:color w:val="auto"/>
              </w:rPr>
            </w:pPr>
          </w:p>
        </w:tc>
        <w:tc>
          <w:tcPr>
            <w:tcW w:w="4820" w:type="dxa"/>
            <w:vAlign w:val="bottom"/>
            <w:gridSpan w:val="2"/>
          </w:tcPr>
          <w:p>
            <w:pPr>
              <w:spacing w:after="0" w:line="198" w:lineRule="exact"/>
              <w:rPr>
                <w:sz w:val="20"/>
                <w:szCs w:val="20"/>
                <w:color w:val="auto"/>
              </w:rPr>
            </w:pPr>
            <w:r>
              <w:rPr>
                <w:rFonts w:ascii="Times New Roman" w:cs="Times New Roman" w:eastAsia="Times New Roman" w:hAnsi="Times New Roman"/>
                <w:sz w:val="18"/>
                <w:szCs w:val="18"/>
                <w:color w:val="auto"/>
              </w:rPr>
              <w:t>Chief Financial Officer</w:t>
            </w:r>
          </w:p>
        </w:tc>
        <w:tc>
          <w:tcPr>
            <w:tcW w:w="2020" w:type="dxa"/>
            <w:vAlign w:val="bottom"/>
          </w:tcPr>
          <w:p>
            <w:pPr>
              <w:jc w:val="center"/>
              <w:spacing w:after="0" w:line="198" w:lineRule="exact"/>
              <w:rPr>
                <w:sz w:val="20"/>
                <w:szCs w:val="20"/>
                <w:color w:val="auto"/>
              </w:rPr>
            </w:pPr>
            <w:r>
              <w:rPr>
                <w:rFonts w:ascii="Times New Roman" w:cs="Times New Roman" w:eastAsia="Times New Roman" w:hAnsi="Times New Roman"/>
                <w:sz w:val="18"/>
                <w:szCs w:val="18"/>
                <w:color w:val="auto"/>
              </w:rPr>
              <w:t>–</w:t>
            </w:r>
          </w:p>
        </w:tc>
      </w:tr>
      <w:tr>
        <w:trPr>
          <w:trHeight w:val="234"/>
        </w:trPr>
        <w:tc>
          <w:tcPr>
            <w:tcW w:w="32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and Accounting Officer)</w:t>
            </w:r>
          </w:p>
        </w:tc>
        <w:tc>
          <w:tcPr>
            <w:tcW w:w="2020" w:type="dxa"/>
            <w:vAlign w:val="bottom"/>
          </w:tcPr>
          <w:p>
            <w:pPr>
              <w:spacing w:after="0"/>
              <w:rPr>
                <w:sz w:val="20"/>
                <w:szCs w:val="20"/>
                <w:color w:val="auto"/>
              </w:rPr>
            </w:pP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 Hua (“Howard’) Chen</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Operating Officer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74</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Secretary, 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31, 2021</w:t>
            </w: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Sean Filson</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41</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16, 2024</w:t>
            </w:r>
          </w:p>
        </w:tc>
      </w:tr>
      <w:tr>
        <w:trPr>
          <w:trHeight w:val="216"/>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Hui-Ying Zhuang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51</w:t>
            </w:r>
          </w:p>
        </w:tc>
        <w:tc>
          <w:tcPr>
            <w:tcW w:w="100" w:type="dxa"/>
            <w:vAlign w:val="bottom"/>
          </w:tcPr>
          <w:p>
            <w:pPr>
              <w:spacing w:after="0"/>
              <w:rPr>
                <w:sz w:val="18"/>
                <w:szCs w:val="18"/>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December 19, 2019</w:t>
            </w:r>
          </w:p>
        </w:tc>
      </w:tr>
      <w:tr>
        <w:trPr>
          <w:trHeight w:val="216"/>
        </w:trPr>
        <w:tc>
          <w:tcPr>
            <w:tcW w:w="34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Yiwen Zhang</w:t>
            </w:r>
          </w:p>
        </w:tc>
        <w:tc>
          <w:tcPr>
            <w:tcW w:w="90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99"/>
              </w:rPr>
              <w:t>56</w:t>
            </w:r>
          </w:p>
        </w:tc>
        <w:tc>
          <w:tcPr>
            <w:tcW w:w="100" w:type="dxa"/>
            <w:vAlign w:val="bottom"/>
            <w:shd w:val="clear" w:color="auto" w:fill="EEEEEE"/>
          </w:tcPr>
          <w:p>
            <w:pPr>
              <w:spacing w:after="0"/>
              <w:rPr>
                <w:sz w:val="18"/>
                <w:szCs w:val="18"/>
                <w:color w:val="auto"/>
              </w:rPr>
            </w:pPr>
          </w:p>
        </w:tc>
        <w:tc>
          <w:tcPr>
            <w:tcW w:w="482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r>
        <w:trPr>
          <w:trHeight w:val="234"/>
        </w:trPr>
        <w:tc>
          <w:tcPr>
            <w:tcW w:w="34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Song-Yuan Teng</w:t>
            </w:r>
          </w:p>
        </w:tc>
        <w:tc>
          <w:tcPr>
            <w:tcW w:w="90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36</w:t>
            </w:r>
          </w:p>
        </w:tc>
        <w:tc>
          <w:tcPr>
            <w:tcW w:w="100" w:type="dxa"/>
            <w:vAlign w:val="bottom"/>
          </w:tcPr>
          <w:p>
            <w:pPr>
              <w:spacing w:after="0"/>
              <w:rPr>
                <w:sz w:val="20"/>
                <w:szCs w:val="20"/>
                <w:color w:val="auto"/>
              </w:rPr>
            </w:pPr>
          </w:p>
        </w:tc>
        <w:tc>
          <w:tcPr>
            <w:tcW w:w="48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0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October 27, 2023</w:t>
            </w:r>
          </w:p>
        </w:tc>
      </w:tr>
    </w:tbl>
    <w:p>
      <w:pPr>
        <w:spacing w:after="0" w:line="17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Andy Ching-An Jin</w:t>
      </w:r>
      <w:r>
        <w:rPr>
          <w:rFonts w:ascii="Times New Roman" w:cs="Times New Roman" w:eastAsia="Times New Roman" w:hAnsi="Times New Roman"/>
          <w:sz w:val="18"/>
          <w:szCs w:val="18"/>
          <w:color w:val="auto"/>
        </w:rPr>
        <w:t>, age 43, is an executive with diversified experience in global business operations, investments, marketing and branding. Most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recently, he was an Investment Director at Fotex Holding 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spacing w:after="0" w:line="188"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Shun-Chih (“Jimmy”) Chuang </w:t>
      </w:r>
      <w:r>
        <w:rPr>
          <w:rFonts w:ascii="Times New Roman" w:cs="Times New Roman" w:eastAsia="Times New Roman" w:hAnsi="Times New Roman"/>
          <w:sz w:val="18"/>
          <w:szCs w:val="18"/>
          <w:color w:val="auto"/>
        </w:rPr>
        <w:t>was appointed as Chief Financial Officer of the Company on October 28, 2019. Prior to that role, from October 1,</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2016 to 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spacing w:after="0" w:line="18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Feng-Hua (“Howard”) Chen </w:t>
      </w:r>
      <w:r>
        <w:rPr>
          <w:rFonts w:ascii="Times New Roman" w:cs="Times New Roman" w:eastAsia="Times New Roman" w:hAnsi="Times New Roman"/>
          <w:sz w:val="18"/>
          <w:szCs w:val="18"/>
          <w:color w:val="auto"/>
        </w:rPr>
        <w:t>was appointed as Chief Operating Officer of the Company on January 5, 2024. Mr. Chen is experienced in diverse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areas such 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3" w:name="page14"/>
    <w:bookmarkEnd w:id="13"/>
    <w:p>
      <w:pPr>
        <w:jc w:val="both"/>
        <w:ind w:firstLine="648"/>
        <w:spacing w:after="0" w:line="253" w:lineRule="auto"/>
        <w:rPr>
          <w:sz w:val="20"/>
          <w:szCs w:val="20"/>
          <w:color w:val="auto"/>
        </w:rPr>
      </w:pPr>
      <w:r>
        <w:rPr>
          <w:rFonts w:ascii="Times New Roman" w:cs="Times New Roman" w:eastAsia="Times New Roman" w:hAnsi="Times New Roman"/>
          <w:sz w:val="18"/>
          <w:szCs w:val="18"/>
          <w:b w:val="1"/>
          <w:bCs w:val="1"/>
          <w:i w:val="1"/>
          <w:iCs w:val="1"/>
          <w:color w:val="auto"/>
        </w:rPr>
        <w:t xml:space="preserve">Gerald H. Lindberg </w:t>
      </w:r>
      <w:r>
        <w:rPr>
          <w:rFonts w:ascii="Times New Roman" w:cs="Times New Roman" w:eastAsia="Times New Roman" w:hAnsi="Times New Roman"/>
          <w:sz w:val="18"/>
          <w:szCs w:val="18"/>
          <w:color w:val="auto"/>
        </w:rPr>
        <w:t>was appointed as Secretary and Director of the Company on December 31, 2021. In the past five years, working for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Handover International, Mr. Lindberg has provided substantial expertise and guidance as a consultant, has served as a board member and CFO of publicly traded companies, business adviser, capital acquisition director, and operations officer to real world and Internet start-ups and helped raise capital for start-ups, small cap, micro-cap, and nano-cap businesses in both the public and private sectors. Earlier in his career, he was Section Chief, Litigation Assistance Systems Section, Justice Management Division, United States Department of Justice, and an attorney-advisor with the United States Department of Justice (1979-1982). 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Mr. Lindberg earned his law degree from Western New England University, School of Law, Springfield, MA. Mr. Lindberg is qualified to serve as a director of the Company due to his substantial board and financial consulting experience.</w:t>
      </w:r>
    </w:p>
    <w:p>
      <w:pPr>
        <w:spacing w:after="0" w:line="19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 xml:space="preserve">Sean Filson </w:t>
      </w:r>
      <w:r>
        <w:rPr>
          <w:rFonts w:ascii="Times New Roman" w:cs="Times New Roman" w:eastAsia="Times New Roman" w:hAnsi="Times New Roman"/>
          <w:sz w:val="18"/>
          <w:szCs w:val="18"/>
          <w:color w:val="auto"/>
        </w:rPr>
        <w:t>was appointed as a Director of the Company on October 16, 2024. Mr. Filson is currently Co-Founder, Board Member, and Chief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Financial Officer of MedicalMatch Corporation (2023-present), a technology-driven healthcare staffing platform, where he oversees financial strategy and capital planning. Previously, he founded SNP Medical Holdings, LLC in 2021, guiding it to a $1.25 billion valuation through innovative non-surgical joint pain treatments. He also served as Vice Chairman of the American Chamber of Commerce, Tianjin, China (2014-2020), where he promoted U.S.-China business relations, achieving record chapter funding. Earlier, as APAC Business Development Manager for Taylor Corporation (2013-2019), Mr. Filson drove significant revenue growth, managing key accounts like Thermo Fisher and GE. He holds an MBA in International Finance &amp; International Business from Oklahoma City University and Tianjin University of Finance and Economics, a B.A. in Entrepreneurship from the University of St. Thomas, and a degree in Chinese Language and Cultural Studies from Nankai University, China. Fluent in Mandarin, Mr. Filson’s expertise in financial management and cross-cultural business development makes him well-qualified to serve as a director of the Company.</w:t>
      </w:r>
    </w:p>
    <w:p>
      <w:pPr>
        <w:spacing w:after="0" w:line="188"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b w:val="1"/>
          <w:bCs w:val="1"/>
          <w:i w:val="1"/>
          <w:iCs w:val="1"/>
          <w:color w:val="auto"/>
        </w:rPr>
        <w:t xml:space="preserve">Hui-Ying Zhuang </w:t>
      </w:r>
      <w:r>
        <w:rPr>
          <w:rFonts w:ascii="Times New Roman" w:cs="Times New Roman" w:eastAsia="Times New Roman" w:hAnsi="Times New Roman"/>
          <w:sz w:val="18"/>
          <w:szCs w:val="18"/>
          <w:color w:val="auto"/>
        </w:rPr>
        <w:t>was appointed as a Director of the Company on December 19, 2019. Mr. Zhuang works as Vice President of Sales at Clyde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Bergemann 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spacing w:after="0" w:line="18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 xml:space="preserve">Yiwen Zhang </w:t>
      </w:r>
      <w:r>
        <w:rPr>
          <w:rFonts w:ascii="Times New Roman" w:cs="Times New Roman" w:eastAsia="Times New Roman" w:hAnsi="Times New Roman"/>
          <w:sz w:val="18"/>
          <w:szCs w:val="18"/>
          <w:color w:val="auto"/>
        </w:rPr>
        <w:t>was appointed as Director of the Company on October 27, 2023. Mr. Zhang currently works as Manager of Finance, Marketing and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Student 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spacing w:after="0" w:line="18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 xml:space="preserve">Song-Yuan Teng </w:t>
      </w:r>
      <w:r>
        <w:rPr>
          <w:rFonts w:ascii="Times New Roman" w:cs="Times New Roman" w:eastAsia="Times New Roman" w:hAnsi="Times New Roman"/>
          <w:sz w:val="18"/>
          <w:szCs w:val="18"/>
          <w:color w:val="auto"/>
        </w:rPr>
        <w:t>was appointed as Director of the Company on October 27, 2023. Mr. Teng currently serves as Chief Executive Officer of</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G.MCOIN Enterprises 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4" w:name="page15"/>
    <w:bookmarkEnd w:id="14"/>
    <w:p>
      <w:pPr>
        <w:jc w:val="center"/>
        <w:spacing w:after="0"/>
        <w:rPr>
          <w:sz w:val="20"/>
          <w:szCs w:val="20"/>
          <w:color w:val="auto"/>
        </w:rPr>
      </w:pPr>
      <w:r>
        <w:rPr>
          <w:rFonts w:ascii="Times New Roman" w:cs="Times New Roman" w:eastAsia="Times New Roman" w:hAnsi="Times New Roman"/>
          <w:sz w:val="18"/>
          <w:szCs w:val="18"/>
          <w:b w:val="1"/>
          <w:bCs w:val="1"/>
          <w:color w:val="auto"/>
        </w:rPr>
        <w:t>CORPORATE GOVERNANCE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Term of Office</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directors are appointed for a one-year term to hold office until the next annual general meeting of our shareholders or until their resignation or removal in accordance with our amended and restated bylaws (“Bylaws”), or their successor is elected. Our officers are appointed by our Board and hold office until removed by the Board.</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Family Relationships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There are no family relationships between any of our directors or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Involvement in Legal Proceedings</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To our knowledge, there have been no material legal proceedings that would require disclosure under the federal securities laws that are material to an evaluation of the ability of our director or executive officers.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Code of Business Conduct and Ethics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Board has adopted a written code of business conduct and ethics (“Code of Conduct”) that applies to our directors, officers and employees, including our principal executive officer, principal financial officer and principal accounting officer or controller, or persons performing similar functions. We intend to post on our website a current copy of the Code of Conduct and all disclosures that are required by law in regard to any amendments to, or waivers from, any provision of the Code of Conduct.</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Board Risk Oversight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Board as a whole has responsibility for risk oversight. Our Board exercises this risk oversight responsibility directly and through its committees. The risk oversight responsibility of our Board and its committees are informed by reports from our management teams to provide visibility to our Board about the identification, assessment, and management of key risks and our management’s risk mitigation strategies. Our Board has primary responsibility for evaluating strategic and operational risks, including those related to significant transactions. Our Audit Committee has primary responsibility for overseeing our major financial and accounting risk exposures and, among other things, discusses guidelines and policies with respect to assessing and managing risk with management and our independent auditor. Our Compensation Committee has responsibility for evaluating risks arising from our compensation and people policies and practices. Our Nominating and Corporate Governance Committee has responsibility for evaluating risks relating to our corporate governance practices. Our committees and management provide reports to our Board on these matters.</w:t>
      </w:r>
    </w:p>
    <w:p>
      <w:pPr>
        <w:spacing w:after="0" w:line="19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its governance role, and particularly in exercising its duty of care and diligence, our Board is responsible for ensuring that appropriate risk management policies and procedures are in place to protect the Company’s assets and business. Our Board has broad and ultimate oversight responsibility for our risk management processes and programs, and executive management is responsible for the day-to-day evaluation and management of risks to the Company. We do not have a policy as to whether our Chairperson and Chief Executive Officer’s roles should be separate. Instead, our Board makes this determination based on what best serves our Company’s needs at any given time.</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18"/>
          <w:szCs w:val="18"/>
          <w:b w:val="1"/>
          <w:bCs w:val="1"/>
          <w:color w:val="auto"/>
        </w:rPr>
        <w:t>Board Diversity Matrix</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On August 6, 2021, the SEC approved proposed rule changes regarding board diversity of The Nasdaq Stock Market LLC (“Nasdaq”), which require listed companies to:</w:t>
      </w:r>
    </w:p>
    <w:p>
      <w:pPr>
        <w:spacing w:after="0" w:line="162" w:lineRule="exact"/>
        <w:rPr>
          <w:sz w:val="20"/>
          <w:szCs w:val="20"/>
          <w:color w:val="auto"/>
        </w:rPr>
      </w:pPr>
    </w:p>
    <w:p>
      <w:pPr>
        <w:ind w:left="980" w:hanging="324"/>
        <w:spacing w:after="0"/>
        <w:tabs>
          <w:tab w:leader="none" w:pos="98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 statistical information regarding the diversity of the company’s board;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or explain why they do not have, at least two diverse directors on the board of directors.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Nasdaq-listed companies, subject to certain exceptions, must disclose statistical information on the company’s board of directors related to a director’s self-identified gender, race, and self-identification as LGBTQ+. Nasdaq Rule 5606 of the Nasdaq Listing Rules includes a uniform matrix format for the disclosure, which companies are required to provide annually in their proxy statement or on their website.</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Companies must disclose the board matrix annually by December 31.</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Nasdaq-listed companies, with certain exceptions, will also need to either:</w:t>
      </w:r>
    </w:p>
    <w:p>
      <w:pPr>
        <w:spacing w:after="0" w:line="225" w:lineRule="exact"/>
        <w:rPr>
          <w:sz w:val="20"/>
          <w:szCs w:val="20"/>
          <w:color w:val="auto"/>
        </w:rPr>
      </w:pPr>
    </w:p>
    <w:p>
      <w:pPr>
        <w:ind w:left="1020" w:hanging="337"/>
        <w:spacing w:after="0"/>
        <w:tabs>
          <w:tab w:leader="none" w:pos="102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Have at least:</w:t>
      </w:r>
    </w:p>
    <w:p>
      <w:pPr>
        <w:spacing w:after="0" w:line="225" w:lineRule="exact"/>
        <w:rPr>
          <w:rFonts w:ascii="Times New Roman" w:cs="Times New Roman" w:eastAsia="Times New Roman" w:hAnsi="Times New Roman"/>
          <w:sz w:val="18"/>
          <w:szCs w:val="18"/>
          <w:color w:val="auto"/>
        </w:rPr>
      </w:pPr>
    </w:p>
    <w:p>
      <w:pPr>
        <w:ind w:left="1360" w:hanging="340"/>
        <w:spacing w:after="0"/>
        <w:tabs>
          <w:tab w:leader="none" w:pos="136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 director who self-identifies as female, without regard to the individual’s designated sex at birth; and</w:t>
      </w:r>
    </w:p>
    <w:p>
      <w:pPr>
        <w:spacing w:after="0" w:line="225" w:lineRule="exact"/>
        <w:rPr>
          <w:rFonts w:ascii="Times New Roman" w:cs="Times New Roman" w:eastAsia="Times New Roman" w:hAnsi="Times New Roman"/>
          <w:sz w:val="18"/>
          <w:szCs w:val="18"/>
          <w:color w:val="auto"/>
        </w:rPr>
      </w:pPr>
    </w:p>
    <w:p>
      <w:pPr>
        <w:ind w:left="1360" w:hanging="340"/>
        <w:spacing w:after="0"/>
        <w:tabs>
          <w:tab w:leader="none" w:pos="136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 director who self-identifies as an “underrepresented minority” or LGBTQ+, as defined in the proposal.</w:t>
      </w:r>
    </w:p>
    <w:p>
      <w:pPr>
        <w:spacing w:after="0" w:line="225" w:lineRule="exact"/>
        <w:rPr>
          <w:rFonts w:ascii="Times New Roman" w:cs="Times New Roman" w:eastAsia="Times New Roman" w:hAnsi="Times New Roman"/>
          <w:sz w:val="18"/>
          <w:szCs w:val="18"/>
          <w:color w:val="auto"/>
        </w:rPr>
      </w:pPr>
    </w:p>
    <w:p>
      <w:pPr>
        <w:ind w:left="1020" w:hanging="337"/>
        <w:spacing w:after="0"/>
        <w:tabs>
          <w:tab w:leader="none" w:pos="1020"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Explain why the company does not have at least two directors on its board who self-identify in the categories listed above.</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Nasdaq Rule 5605 includes scaled board diversity requirements for smaller reporting companies, foreign issuers and companies with boards comprised of five or fewer directors. In addition, the board diversity requirement will be phased in for each of Nasdaq’s three tiers. Since the Company is listed on The Nasdaq Capital Market the Company has until December 31, 2023 to have at least one diverse director and until December 31, 2026 to have two diverse directors, or explain why they do not in either case.</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following Board Diversity Matrix presents our Board diversity statistics in accordance with Nasdaq Rule 5606, as self-disclosed by our directors. Each of the categories listed in the below table has the meaning as it is used in Nasdaq Rule 5605(f).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tbl>
      <w:tblPr>
        <w:tblLayout w:type="fixed"/>
        <w:tblInd w:w="0" w:type="dxa"/>
        <w:tblCellMar>
          <w:top w:w="0" w:type="dxa"/>
          <w:left w:w="0" w:type="dxa"/>
          <w:bottom w:w="0" w:type="dxa"/>
          <w:right w:w="0" w:type="dxa"/>
        </w:tblCellMar>
      </w:tblPr>
      <w:tr>
        <w:trPr>
          <w:trHeight w:val="238"/>
        </w:trPr>
        <w:tc>
          <w:tcPr>
            <w:tcW w:w="2700" w:type="dxa"/>
            <w:vAlign w:val="bottom"/>
          </w:tcPr>
          <w:p>
            <w:pPr>
              <w:spacing w:after="0"/>
              <w:rPr>
                <w:sz w:val="20"/>
                <w:szCs w:val="20"/>
                <w:color w:val="auto"/>
              </w:rPr>
            </w:pPr>
          </w:p>
        </w:tc>
        <w:tc>
          <w:tcPr>
            <w:tcW w:w="7100" w:type="dxa"/>
            <w:vAlign w:val="bottom"/>
            <w:gridSpan w:val="8"/>
          </w:tcPr>
          <w:p>
            <w:pPr>
              <w:ind w:left="40"/>
              <w:spacing w:after="0"/>
              <w:rPr>
                <w:sz w:val="20"/>
                <w:szCs w:val="20"/>
                <w:color w:val="auto"/>
              </w:rPr>
            </w:pPr>
            <w:r>
              <w:rPr>
                <w:rFonts w:ascii="Times New Roman" w:cs="Times New Roman" w:eastAsia="Times New Roman" w:hAnsi="Times New Roman"/>
                <w:sz w:val="18"/>
                <w:szCs w:val="18"/>
                <w:b w:val="1"/>
                <w:bCs w:val="1"/>
                <w:color w:val="auto"/>
              </w:rPr>
              <w:t>Board Diversity Matrix (as of the Record Date and as of November 5, 2024)</w:t>
            </w:r>
          </w:p>
        </w:tc>
        <w:tc>
          <w:tcPr>
            <w:tcW w:w="134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32"/>
        </w:trPr>
        <w:tc>
          <w:tcPr>
            <w:tcW w:w="27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Number of Directors:</w:t>
            </w:r>
          </w:p>
        </w:tc>
        <w:tc>
          <w:tcPr>
            <w:tcW w:w="18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20" w:type="dxa"/>
            <w:vAlign w:val="bottom"/>
          </w:tcPr>
          <w:p>
            <w:pPr>
              <w:jc w:val="right"/>
              <w:ind w:right="70"/>
              <w:spacing w:after="0"/>
              <w:rPr>
                <w:sz w:val="20"/>
                <w:szCs w:val="20"/>
                <w:color w:val="auto"/>
              </w:rPr>
            </w:pPr>
            <w:r>
              <w:rPr>
                <w:rFonts w:ascii="Times New Roman" w:cs="Times New Roman" w:eastAsia="Times New Roman" w:hAnsi="Times New Roman"/>
                <w:sz w:val="18"/>
                <w:szCs w:val="18"/>
                <w:b w:val="1"/>
                <w:bCs w:val="1"/>
                <w:color w:val="auto"/>
              </w:rPr>
              <w:t>5</w:t>
            </w: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100" w:type="dxa"/>
            <w:vAlign w:val="bottom"/>
          </w:tcPr>
          <w:p>
            <w:pPr>
              <w:spacing w:after="0"/>
              <w:rPr>
                <w:sz w:val="24"/>
                <w:szCs w:val="24"/>
                <w:color w:val="auto"/>
              </w:rPr>
            </w:pPr>
          </w:p>
        </w:tc>
      </w:tr>
      <w:tr>
        <w:trPr>
          <w:trHeight w:val="410"/>
        </w:trPr>
        <w:tc>
          <w:tcPr>
            <w:tcW w:w="2700" w:type="dxa"/>
            <w:vAlign w:val="bottom"/>
          </w:tcPr>
          <w:p>
            <w:pPr>
              <w:spacing w:after="0"/>
              <w:rPr>
                <w:sz w:val="24"/>
                <w:szCs w:val="24"/>
                <w:color w:val="auto"/>
              </w:rPr>
            </w:pPr>
          </w:p>
        </w:tc>
        <w:tc>
          <w:tcPr>
            <w:tcW w:w="180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136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34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1440" w:type="dxa"/>
            <w:vAlign w:val="bottom"/>
            <w:gridSpan w:val="2"/>
          </w:tcPr>
          <w:p>
            <w:pPr>
              <w:jc w:val="center"/>
              <w:ind w:right="120"/>
              <w:spacing w:after="0"/>
              <w:rPr>
                <w:sz w:val="20"/>
                <w:szCs w:val="20"/>
                <w:color w:val="auto"/>
              </w:rPr>
            </w:pPr>
            <w:r>
              <w:rPr>
                <w:rFonts w:ascii="Times New Roman" w:cs="Times New Roman" w:eastAsia="Times New Roman" w:hAnsi="Times New Roman"/>
                <w:sz w:val="18"/>
                <w:szCs w:val="18"/>
                <w:b w:val="1"/>
                <w:bCs w:val="1"/>
                <w:color w:val="auto"/>
              </w:rPr>
              <w:t>Did Not Disclose</w:t>
            </w:r>
          </w:p>
        </w:tc>
      </w:tr>
      <w:tr>
        <w:trPr>
          <w:trHeight w:val="238"/>
        </w:trPr>
        <w:tc>
          <w:tcPr>
            <w:tcW w:w="27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Part I: Gender Identity</w:t>
            </w:r>
          </w:p>
        </w:tc>
        <w:tc>
          <w:tcPr>
            <w:tcW w:w="18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720" w:type="dxa"/>
            <w:vAlign w:val="bottom"/>
            <w:gridSpan w:val="2"/>
          </w:tcPr>
          <w:p>
            <w:pPr>
              <w:ind w:left="400"/>
              <w:spacing w:after="0"/>
              <w:rPr>
                <w:sz w:val="20"/>
                <w:szCs w:val="20"/>
                <w:color w:val="auto"/>
              </w:rPr>
            </w:pPr>
            <w:r>
              <w:rPr>
                <w:rFonts w:ascii="Times New Roman" w:cs="Times New Roman" w:eastAsia="Times New Roman" w:hAnsi="Times New Roman"/>
                <w:sz w:val="18"/>
                <w:szCs w:val="18"/>
                <w:b w:val="1"/>
                <w:bCs w:val="1"/>
                <w:color w:val="auto"/>
              </w:rPr>
              <w:t>Female</w:t>
            </w:r>
          </w:p>
        </w:tc>
        <w:tc>
          <w:tcPr>
            <w:tcW w:w="136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Male</w:t>
            </w:r>
          </w:p>
        </w:tc>
        <w:tc>
          <w:tcPr>
            <w:tcW w:w="320" w:type="dxa"/>
            <w:vAlign w:val="bottom"/>
          </w:tcPr>
          <w:p>
            <w:pPr>
              <w:spacing w:after="0"/>
              <w:rPr>
                <w:sz w:val="20"/>
                <w:szCs w:val="20"/>
                <w:color w:val="auto"/>
              </w:rPr>
            </w:pPr>
          </w:p>
        </w:tc>
        <w:tc>
          <w:tcPr>
            <w:tcW w:w="1660" w:type="dxa"/>
            <w:vAlign w:val="bottom"/>
            <w:gridSpan w:val="2"/>
          </w:tcPr>
          <w:p>
            <w:pPr>
              <w:ind w:left="200"/>
              <w:spacing w:after="0"/>
              <w:rPr>
                <w:sz w:val="20"/>
                <w:szCs w:val="20"/>
                <w:color w:val="auto"/>
              </w:rPr>
            </w:pPr>
            <w:r>
              <w:rPr>
                <w:rFonts w:ascii="Times New Roman" w:cs="Times New Roman" w:eastAsia="Times New Roman" w:hAnsi="Times New Roman"/>
                <w:sz w:val="18"/>
                <w:szCs w:val="18"/>
                <w:b w:val="1"/>
                <w:bCs w:val="1"/>
                <w:color w:val="auto"/>
              </w:rPr>
              <w:t>Non-Binary</w:t>
            </w:r>
          </w:p>
        </w:tc>
        <w:tc>
          <w:tcPr>
            <w:tcW w:w="1440" w:type="dxa"/>
            <w:vAlign w:val="bottom"/>
            <w:gridSpan w:val="2"/>
          </w:tcPr>
          <w:p>
            <w:pPr>
              <w:jc w:val="center"/>
              <w:ind w:right="100"/>
              <w:spacing w:after="0"/>
              <w:rPr>
                <w:sz w:val="20"/>
                <w:szCs w:val="20"/>
                <w:color w:val="auto"/>
              </w:rPr>
            </w:pPr>
            <w:r>
              <w:rPr>
                <w:rFonts w:ascii="Times New Roman" w:cs="Times New Roman" w:eastAsia="Times New Roman" w:hAnsi="Times New Roman"/>
                <w:sz w:val="18"/>
                <w:szCs w:val="18"/>
                <w:b w:val="1"/>
                <w:bCs w:val="1"/>
                <w:color w:val="auto"/>
                <w:w w:val="99"/>
              </w:rPr>
              <w:t>Gender</w:t>
            </w:r>
          </w:p>
        </w:tc>
      </w:tr>
      <w:tr>
        <w:trPr>
          <w:trHeight w:val="209"/>
        </w:trPr>
        <w:tc>
          <w:tcPr>
            <w:tcW w:w="2700" w:type="dxa"/>
            <w:vAlign w:val="bottom"/>
            <w:tcBorders>
              <w:top w:val="single" w:sz="8" w:color="auto"/>
            </w:tcBorders>
          </w:tcPr>
          <w:p>
            <w:pPr>
              <w:spacing w:after="0"/>
              <w:rPr>
                <w:sz w:val="18"/>
                <w:szCs w:val="18"/>
                <w:color w:val="auto"/>
              </w:rPr>
            </w:pPr>
          </w:p>
        </w:tc>
        <w:tc>
          <w:tcPr>
            <w:tcW w:w="180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Directors</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5</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Part II: Demographic Background</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African American or Black</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Alaskan Native or American Indian</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Asian</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3</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Hispanic or Latinx</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Native Hawaiian or Pacific Islander</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White</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jc w:val="center"/>
              <w:spacing w:after="0"/>
              <w:rPr>
                <w:sz w:val="20"/>
                <w:szCs w:val="20"/>
                <w:color w:val="auto"/>
              </w:rPr>
            </w:pPr>
            <w:r>
              <w:rPr>
                <w:rFonts w:ascii="Times New Roman" w:cs="Times New Roman" w:eastAsia="Times New Roman" w:hAnsi="Times New Roman"/>
                <w:sz w:val="18"/>
                <w:szCs w:val="18"/>
                <w:color w:val="auto"/>
                <w:w w:val="88"/>
              </w:rPr>
              <w:t>2</w:t>
            </w: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Two or More Races or Ethnicities</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2700" w:type="dxa"/>
            <w:vAlign w:val="bottom"/>
          </w:tcPr>
          <w:p>
            <w:pPr>
              <w:spacing w:after="0"/>
              <w:rPr>
                <w:sz w:val="18"/>
                <w:szCs w:val="18"/>
                <w:color w:val="auto"/>
              </w:rPr>
            </w:pPr>
          </w:p>
        </w:tc>
        <w:tc>
          <w:tcPr>
            <w:tcW w:w="180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LGBTQ+</w:t>
            </w:r>
          </w:p>
        </w:tc>
        <w:tc>
          <w:tcPr>
            <w:tcW w:w="1800" w:type="dxa"/>
            <w:vAlign w:val="bottom"/>
            <w:shd w:val="clear" w:color="auto" w:fill="EEEEEE"/>
          </w:tcPr>
          <w:p>
            <w:pPr>
              <w:spacing w:after="0"/>
              <w:rPr>
                <w:sz w:val="18"/>
                <w:szCs w:val="18"/>
                <w:color w:val="auto"/>
              </w:rPr>
            </w:pPr>
          </w:p>
        </w:tc>
        <w:tc>
          <w:tcPr>
            <w:tcW w:w="24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6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Did Not Disclose Demographic Background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20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Our Board seeks members from diverse professional backgrounds who combine a solid professional reputation and knowledge of our business and industry with a reputation for integrity. Our Board does not have a formal policy concerning diversity and inclusion but is in the process of establishing a policy on diversity. Diversity of experience, expertise, and viewpoints is one of many factors the Nominating and Corporate Governance Committee considers when recommending director nominees to our Board. Further, our Board is committed to actively seeking highly qualified women and individuals from minority groups and the LGBTQ+ community to include in the pool from which new candidates are selected. Our Board also seeks members that have experience in positions with a high degree of responsibility or are, or have been, leaders in the companies or institutions with which they are, or were, affiliated, but may seek other members with different backgrounds, based upon the contributions they can make to our Company. While the Board has continued its efforts to identify candidates that have such experience, they have currently been unable to identify any such candidates which fulfill the diversity requirement with the requisite professional experience.</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color w:val="auto"/>
        </w:rPr>
        <w:t>Director Independence and Board Committees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An “independent director” is defined generally as a person other than an officer or employee of the Company or its subsidiaries or any other individual having a relationship which in the opinion of the Company’s Board, would interfere with the director’s exercise of independent judgment in carrying out the responsibilities of a director. Gerald H. Lindberg, Sean Filson, Hui-Ying Zhuang, Yiwen Zhang and Song-Yuan Teng serve as members of our Board. Our Board has determined that Sean Filson, Hui-Ying Zhuang, Yiwen Zhang and Song-Yuan Teng are “independent directors” as defined in the Nasdaq listing rules and under Rule 10-A-3(b)(1) of the Exchange Act and applicable SEC rules.</w:t>
      </w:r>
    </w:p>
    <w:p>
      <w:pPr>
        <w:spacing w:after="0" w:line="181"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i w:val="1"/>
          <w:iCs w:val="1"/>
          <w:u w:val="single" w:color="auto"/>
          <w:color w:val="auto"/>
        </w:rPr>
        <w:t>Audit Committee</w:t>
      </w:r>
      <w:r>
        <w:rPr>
          <w:rFonts w:ascii="Times New Roman" w:cs="Times New Roman" w:eastAsia="Times New Roman" w:hAnsi="Times New Roman"/>
          <w:sz w:val="18"/>
          <w:szCs w:val="18"/>
          <w:color w:val="auto"/>
        </w:rPr>
        <w:t>. We currently have a standing Audit Committee. Yiwen Zhang, Sean Filson and Hui-Ying Zhuang serve as members of our Audit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Committee. Yiwen Zhang serves as the Audit Committee Chairman and financial expert. Under the Nasdaq listing standards and applicable SEC rules, we are required to have at least three members of the Audit Committee, all of whom must be independent and financially literate, and one member of the Audit Committee must qualify as an “audit committee financial expert” as defined in applicable SEC rules. Yiwen Zhang qualifies as an “audit committee financial expert” under the SEC rules.</w:t>
      </w:r>
    </w:p>
    <w:p>
      <w:pPr>
        <w:spacing w:after="0" w:line="18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an Audit Committee charter, which details the purpose and principal functions of the Audit Committee, including:</w:t>
      </w:r>
    </w:p>
    <w:p>
      <w:pPr>
        <w:spacing w:after="0" w:line="225" w:lineRule="exact"/>
        <w:rPr>
          <w:sz w:val="20"/>
          <w:szCs w:val="20"/>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discussing with management and the independent auditor the annual audited financial statements, and recommending to the Board whether the audited financial statements should be included in our annual disclosure report;</w:t>
      </w:r>
    </w:p>
    <w:p>
      <w:pPr>
        <w:spacing w:after="0" w:line="161" w:lineRule="exact"/>
        <w:rPr>
          <w:rFonts w:ascii="Times New Roman" w:cs="Times New Roman" w:eastAsia="Times New Roman" w:hAnsi="Times New Roman"/>
          <w:sz w:val="18"/>
          <w:szCs w:val="18"/>
          <w:color w:val="auto"/>
        </w:rPr>
      </w:pPr>
    </w:p>
    <w:p>
      <w:pPr>
        <w:ind w:left="980" w:hanging="324"/>
        <w:spacing w:after="0" w:line="261"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and the independent auditor significant financial reporting issues and judgments made in connection with the preparation of our financial statements;</w:t>
      </w: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discussing with management major risk assessment and risk management policies;</w:t>
      </w:r>
    </w:p>
    <w:p>
      <w:pPr>
        <w:spacing w:after="0" w:line="206"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monitoring the independence of the independent auditor;</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verifying the rotation of the lead (or coordinating) audit partner having primary responsibility for the audit and the audit partner responsible for reviewing the audit as required by law;</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reviewing and approving all related-party transactions;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inquiring and discussing with management our compliance with applicable laws and regulations;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pre-approving all audit services and permitted non-audit services to be performed by our independent auditor, including the fees and terms of the services to be performed;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appointing or replacing the independent auditor;</w:t>
      </w:r>
    </w:p>
    <w:p>
      <w:pPr>
        <w:spacing w:after="0" w:line="225" w:lineRule="exact"/>
        <w:rPr>
          <w:rFonts w:ascii="Times New Roman" w:cs="Times New Roman" w:eastAsia="Times New Roman" w:hAnsi="Times New Roman"/>
          <w:sz w:val="18"/>
          <w:szCs w:val="18"/>
          <w:color w:val="auto"/>
        </w:rPr>
      </w:pPr>
    </w:p>
    <w:p>
      <w:pPr>
        <w:jc w:val="both"/>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p>
      <w:pPr>
        <w:spacing w:after="0" w:line="161"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procedures for the receipt, retention and treatment of complaints received by us regarding accounting, internal accounting controls or reports which raise material issues regarding our financial statements or accounting policies; and</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approving reimbursement of expenses incurred by our management team in identifying potential target businesses.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u w:val="single" w:color="auto"/>
          <w:color w:val="auto"/>
        </w:rPr>
        <w:t>Compensation Committee</w:t>
      </w:r>
      <w:r>
        <w:rPr>
          <w:rFonts w:ascii="Times New Roman" w:cs="Times New Roman" w:eastAsia="Times New Roman" w:hAnsi="Times New Roman"/>
          <w:sz w:val="18"/>
          <w:szCs w:val="18"/>
          <w:color w:val="auto"/>
        </w:rPr>
        <w:t>. We have a standing Compensation Committee. Sean Filson and Hui-Ying Zhuang serve as members of our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Compensation Committee. Sean Filson serves as the Compensation Committee Chairman. Under the Nasdaq listing standards and applicable SEC rules, we are required to have at least two members of the Compensation Committee, all of whom must be independent.</w:t>
      </w:r>
    </w:p>
    <w:p>
      <w:pPr>
        <w:spacing w:after="0" w:line="17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 Compensation Committee charter, which details the purpose and responsibility of the Compensation Committee, including:</w:t>
      </w:r>
    </w:p>
    <w:p>
      <w:pPr>
        <w:spacing w:after="0" w:line="225" w:lineRule="exact"/>
        <w:rPr>
          <w:sz w:val="20"/>
          <w:szCs w:val="20"/>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approves and determines, or makes recommendations to our Board regarding, the compensation of our executive officers;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administers our equity compensation plans;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reviews and approves, or makes recommendations to our Board, regarding incentive compensation and equity compensation plans;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establishes and reviews general policies relating to compensation and benefits of our employees.</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the Company has not retained such a consultant.</w:t>
      </w:r>
    </w:p>
    <w:p>
      <w:pPr>
        <w:spacing w:after="0" w:line="174"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u w:val="single" w:color="auto"/>
          <w:color w:val="auto"/>
        </w:rPr>
        <w:t>Nominating and Governance Committee</w:t>
      </w:r>
      <w:r>
        <w:rPr>
          <w:rFonts w:ascii="Times New Roman" w:cs="Times New Roman" w:eastAsia="Times New Roman" w:hAnsi="Times New Roman"/>
          <w:sz w:val="18"/>
          <w:szCs w:val="18"/>
          <w:color w:val="auto"/>
        </w:rPr>
        <w:t>. We have a standing Nominating and Corporate Governance Committee. Yiwen Zhang and Hui-Ying</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Zhuang serve as members of the Nominating and Corporate Governance. Yiwen Zhang serves as the Nominating and Corporate Governance Committee Chairman.</w:t>
      </w:r>
    </w:p>
    <w:p>
      <w:pPr>
        <w:spacing w:after="0" w:line="17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have adopted a Nominating and Governance Committee charter, which details the purpose and responsibilities of the Nominating and</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Governance Committee, including:</w:t>
      </w:r>
    </w:p>
    <w:p>
      <w:pPr>
        <w:spacing w:after="0" w:line="207" w:lineRule="exact"/>
        <w:rPr>
          <w:sz w:val="20"/>
          <w:szCs w:val="20"/>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identifying, reviewing and evaluating candidates to serve on our Board consistent with criteria approved by our Board;</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director performance on our Board and applicable committees of our Board and determining whether continued service on our Board is appropriate;</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evaluating nominations by shareholders of candidates for election to our Board;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corporate governance matters.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Meetings of the Board of Directors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During its fiscal year ended December 31, 2023, the Board met from time to time informally and acted by written consent on numerous occasions.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 and Limitation on Liability of Directors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Articles of Incorporation limit the liability of our directors to the fullest extent permitted by Nevada law. Nothing contained in the provisions will be construed to deprive any director of his right to all defenses ordinarily available to the director nor will anything herein be construed to deprive any director of any right he may have for contribution from any other director or other person.</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At present, there is no pending litigation or proceeding involving any of our directors, officers, employees or agents where indemnification will be required or permitted. Insofar as indemnification for liabilities arising under the Securities Act of 1933, as amended (the Securities Act”), may be permitted to our directors, officers and controlling persons pursuant to the foregoing provisions, or otherwise, we have been advised that in the opinion of the SEC such indemnification is against public policy as expressed in the Securities Act and is, therefore, unenforceable.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9" w:name="page20"/>
    <w:bookmarkEnd w:id="19"/>
    <w:p>
      <w:pPr>
        <w:jc w:val="center"/>
        <w:spacing w:after="0"/>
        <w:rPr>
          <w:sz w:val="20"/>
          <w:szCs w:val="20"/>
          <w:color w:val="auto"/>
        </w:rPr>
      </w:pPr>
      <w:r>
        <w:rPr>
          <w:rFonts w:ascii="Times New Roman" w:cs="Times New Roman" w:eastAsia="Times New Roman" w:hAnsi="Times New Roman"/>
          <w:sz w:val="18"/>
          <w:szCs w:val="18"/>
          <w:b w:val="1"/>
          <w:bCs w:val="1"/>
          <w:color w:val="auto"/>
        </w:rPr>
        <w:t>EXECUTIVE COMPENSATION</w:t>
      </w:r>
    </w:p>
    <w:p>
      <w:pPr>
        <w:spacing w:after="0" w:line="229"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The following summary compensation table sets forth all compensation awarded to, earned by, or paid to the named executive officer during the years ended December 31, 2023 and 2022 in all capacities for the account of our principal executive officer.</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Summary Compensation Table</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following table summarizes all cash compensation paid by us, as well as certain other compensation paid or accrued, for the years ended December 31, 2023 and 2022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spacing w:after="0" w:line="392" w:lineRule="exact"/>
        <w:rPr>
          <w:sz w:val="20"/>
          <w:szCs w:val="20"/>
          <w:color w:val="auto"/>
        </w:rPr>
      </w:pPr>
    </w:p>
    <w:tbl>
      <w:tblPr>
        <w:tblLayout w:type="fixed"/>
        <w:tblInd w:w="0" w:type="dxa"/>
        <w:tblCellMar>
          <w:top w:w="0" w:type="dxa"/>
          <w:left w:w="0" w:type="dxa"/>
          <w:bottom w:w="0" w:type="dxa"/>
          <w:right w:w="0" w:type="dxa"/>
        </w:tblCellMar>
      </w:tblPr>
      <w:tr>
        <w:trPr>
          <w:trHeight w:val="220"/>
        </w:trPr>
        <w:tc>
          <w:tcPr>
            <w:tcW w:w="53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3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120" w:type="dxa"/>
            <w:vAlign w:val="bottom"/>
          </w:tcPr>
          <w:p>
            <w:pPr>
              <w:spacing w:after="0"/>
              <w:rPr>
                <w:sz w:val="19"/>
                <w:szCs w:val="19"/>
                <w:color w:val="auto"/>
              </w:rPr>
            </w:pPr>
          </w:p>
        </w:tc>
        <w:tc>
          <w:tcPr>
            <w:tcW w:w="1340" w:type="dxa"/>
            <w:vAlign w:val="bottom"/>
          </w:tcPr>
          <w:p>
            <w:pPr>
              <w:spacing w:after="0"/>
              <w:rPr>
                <w:sz w:val="19"/>
                <w:szCs w:val="19"/>
                <w:color w:val="auto"/>
              </w:rPr>
            </w:pPr>
          </w:p>
        </w:tc>
        <w:tc>
          <w:tcPr>
            <w:tcW w:w="100" w:type="dxa"/>
            <w:vAlign w:val="bottom"/>
          </w:tcPr>
          <w:p>
            <w:pPr>
              <w:spacing w:after="0"/>
              <w:rPr>
                <w:sz w:val="19"/>
                <w:szCs w:val="19"/>
                <w:color w:val="auto"/>
              </w:rPr>
            </w:pPr>
          </w:p>
        </w:tc>
      </w:tr>
      <w:tr>
        <w:trPr>
          <w:trHeight w:val="275"/>
        </w:trPr>
        <w:tc>
          <w:tcPr>
            <w:tcW w:w="53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 and Principal Position</w:t>
            </w:r>
          </w:p>
        </w:tc>
        <w:tc>
          <w:tcPr>
            <w:tcW w:w="120" w:type="dxa"/>
            <w:vAlign w:val="bottom"/>
          </w:tcPr>
          <w:p>
            <w:pPr>
              <w:spacing w:after="0"/>
              <w:rPr>
                <w:sz w:val="23"/>
                <w:szCs w:val="23"/>
                <w:color w:val="auto"/>
              </w:rPr>
            </w:pPr>
          </w:p>
        </w:tc>
        <w:tc>
          <w:tcPr>
            <w:tcW w:w="13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Fiscal Year</w:t>
            </w:r>
          </w:p>
        </w:tc>
        <w:tc>
          <w:tcPr>
            <w:tcW w:w="120" w:type="dxa"/>
            <w:vAlign w:val="bottom"/>
          </w:tcPr>
          <w:p>
            <w:pPr>
              <w:spacing w:after="0"/>
              <w:rPr>
                <w:sz w:val="23"/>
                <w:szCs w:val="23"/>
                <w:color w:val="auto"/>
              </w:rPr>
            </w:pPr>
          </w:p>
        </w:tc>
        <w:tc>
          <w:tcPr>
            <w:tcW w:w="1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Salary($)</w:t>
            </w:r>
          </w:p>
        </w:tc>
        <w:tc>
          <w:tcPr>
            <w:tcW w:w="120" w:type="dxa"/>
            <w:vAlign w:val="bottom"/>
          </w:tcPr>
          <w:p>
            <w:pPr>
              <w:spacing w:after="0"/>
              <w:rPr>
                <w:sz w:val="23"/>
                <w:szCs w:val="23"/>
                <w:color w:val="auto"/>
              </w:rPr>
            </w:pPr>
          </w:p>
        </w:tc>
        <w:tc>
          <w:tcPr>
            <w:tcW w:w="1320" w:type="dxa"/>
            <w:vAlign w:val="bottom"/>
          </w:tcPr>
          <w:p>
            <w:pPr>
              <w:spacing w:after="0" w:line="276" w:lineRule="exact"/>
              <w:rPr>
                <w:sz w:val="20"/>
                <w:szCs w:val="20"/>
                <w:color w:val="auto"/>
              </w:rPr>
            </w:pPr>
            <w:r>
              <w:rPr>
                <w:rFonts w:ascii="Times New Roman" w:cs="Times New Roman" w:eastAsia="Times New Roman" w:hAnsi="Times New Roman"/>
                <w:sz w:val="18"/>
                <w:szCs w:val="18"/>
                <w:b w:val="1"/>
                <w:bCs w:val="1"/>
                <w:color w:val="auto"/>
              </w:rPr>
              <w:t>Awards($)</w:t>
            </w:r>
            <w:r>
              <w:rPr>
                <w:rFonts w:ascii="Times New Roman" w:cs="Times New Roman" w:eastAsia="Times New Roman" w:hAnsi="Times New Roman"/>
                <w:sz w:val="29"/>
                <w:szCs w:val="29"/>
                <w:b w:val="1"/>
                <w:bCs w:val="1"/>
                <w:color w:val="auto"/>
                <w:vertAlign w:val="superscript"/>
              </w:rPr>
              <w:t>(1)</w:t>
            </w:r>
          </w:p>
        </w:tc>
        <w:tc>
          <w:tcPr>
            <w:tcW w:w="1560" w:type="dxa"/>
            <w:vAlign w:val="bottom"/>
            <w:gridSpan w:val="3"/>
          </w:tcPr>
          <w:p>
            <w:pPr>
              <w:ind w:left="12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0"/>
        </w:trPr>
        <w:tc>
          <w:tcPr>
            <w:tcW w:w="530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6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20" w:type="dxa"/>
            <w:vAlign w:val="bottom"/>
            <w:shd w:val="clear" w:color="auto" w:fill="000000"/>
          </w:tcPr>
          <w:p>
            <w:pPr>
              <w:spacing w:after="0" w:line="20" w:lineRule="exact"/>
              <w:rPr>
                <w:sz w:val="1"/>
                <w:szCs w:val="1"/>
                <w:color w:val="auto"/>
              </w:rPr>
            </w:pPr>
          </w:p>
        </w:tc>
        <w:tc>
          <w:tcPr>
            <w:tcW w:w="120" w:type="dxa"/>
            <w:vAlign w:val="bottom"/>
            <w:shd w:val="clear" w:color="auto" w:fill="EEEEEE"/>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250"/>
        </w:trPr>
        <w:tc>
          <w:tcPr>
            <w:tcW w:w="5300" w:type="dxa"/>
            <w:vAlign w:val="bottom"/>
            <w:shd w:val="clear" w:color="auto" w:fill="EEEEEE"/>
          </w:tcPr>
          <w:p>
            <w:pPr>
              <w:spacing w:after="0" w:line="250" w:lineRule="exact"/>
              <w:rPr>
                <w:sz w:val="20"/>
                <w:szCs w:val="20"/>
                <w:color w:val="auto"/>
              </w:rPr>
            </w:pPr>
            <w:r>
              <w:rPr>
                <w:rFonts w:ascii="Times New Roman" w:cs="Times New Roman" w:eastAsia="Times New Roman" w:hAnsi="Times New Roman"/>
                <w:sz w:val="17"/>
                <w:szCs w:val="17"/>
                <w:color w:val="auto"/>
              </w:rPr>
              <w:t>Yin-Chieh (“Jeff”) Cheng</w:t>
            </w:r>
            <w:r>
              <w:rPr>
                <w:rFonts w:ascii="Times New Roman" w:cs="Times New Roman" w:eastAsia="Times New Roman" w:hAnsi="Times New Roman"/>
                <w:sz w:val="28"/>
                <w:szCs w:val="28"/>
                <w:color w:val="auto"/>
                <w:vertAlign w:val="superscript"/>
              </w:rPr>
              <w:t>(2)</w:t>
            </w:r>
          </w:p>
        </w:tc>
        <w:tc>
          <w:tcPr>
            <w:tcW w:w="120" w:type="dxa"/>
            <w:vAlign w:val="bottom"/>
            <w:shd w:val="clear" w:color="auto" w:fill="EEEEEE"/>
          </w:tcPr>
          <w:p>
            <w:pPr>
              <w:spacing w:after="0"/>
              <w:rPr>
                <w:sz w:val="21"/>
                <w:szCs w:val="21"/>
                <w:color w:val="auto"/>
              </w:rPr>
            </w:pPr>
          </w:p>
        </w:tc>
        <w:tc>
          <w:tcPr>
            <w:tcW w:w="13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1"/>
                <w:szCs w:val="21"/>
                <w:color w:val="auto"/>
              </w:rPr>
            </w:pPr>
          </w:p>
        </w:tc>
        <w:tc>
          <w:tcPr>
            <w:tcW w:w="1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shd w:val="clear" w:color="auto" w:fill="EEEEEE"/>
          </w:tcPr>
          <w:p>
            <w:pPr>
              <w:spacing w:after="0"/>
              <w:rPr>
                <w:sz w:val="21"/>
                <w:szCs w:val="21"/>
                <w:color w:val="auto"/>
              </w:rPr>
            </w:pP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1,901,806</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1,901,806</w:t>
            </w:r>
          </w:p>
        </w:tc>
        <w:tc>
          <w:tcPr>
            <w:tcW w:w="100" w:type="dxa"/>
            <w:vAlign w:val="bottom"/>
          </w:tcPr>
          <w:p>
            <w:pPr>
              <w:spacing w:after="0"/>
              <w:rPr>
                <w:sz w:val="21"/>
                <w:szCs w:val="21"/>
                <w:color w:val="auto"/>
              </w:rPr>
            </w:pPr>
          </w:p>
        </w:tc>
      </w:tr>
      <w:tr>
        <w:trPr>
          <w:trHeight w:val="198"/>
        </w:trPr>
        <w:tc>
          <w:tcPr>
            <w:tcW w:w="53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Former Chairman of the Board, Former President, Former CEO and</w:t>
            </w:r>
          </w:p>
        </w:tc>
        <w:tc>
          <w:tcPr>
            <w:tcW w:w="12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2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tcPr>
          <w:p>
            <w:pPr>
              <w:spacing w:after="0"/>
              <w:rPr>
                <w:sz w:val="17"/>
                <w:szCs w:val="17"/>
                <w:color w:val="auto"/>
              </w:rPr>
            </w:pPr>
          </w:p>
        </w:tc>
      </w:tr>
      <w:tr>
        <w:trPr>
          <w:trHeight w:val="234"/>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Director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20"/>
                <w:szCs w:val="20"/>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11,053,267</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11,053,267</w:t>
            </w:r>
          </w:p>
        </w:tc>
        <w:tc>
          <w:tcPr>
            <w:tcW w:w="100" w:type="dxa"/>
            <w:vAlign w:val="bottom"/>
          </w:tcPr>
          <w:p>
            <w:pPr>
              <w:spacing w:after="0"/>
              <w:rPr>
                <w:sz w:val="20"/>
                <w:szCs w:val="20"/>
                <w:color w:val="auto"/>
              </w:rPr>
            </w:pPr>
          </w:p>
        </w:tc>
      </w:tr>
      <w:tr>
        <w:trPr>
          <w:trHeight w:val="216"/>
        </w:trPr>
        <w:tc>
          <w:tcPr>
            <w:tcW w:w="53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440" w:type="dxa"/>
            <w:vAlign w:val="bottom"/>
            <w:gridSpan w:val="2"/>
          </w:tcPr>
          <w:p>
            <w:pPr>
              <w:spacing w:after="0"/>
              <w:rPr>
                <w:sz w:val="18"/>
                <w:szCs w:val="18"/>
                <w:color w:val="auto"/>
              </w:rPr>
            </w:pPr>
          </w:p>
        </w:tc>
      </w:tr>
      <w:tr>
        <w:trPr>
          <w:trHeight w:val="257"/>
        </w:trPr>
        <w:tc>
          <w:tcPr>
            <w:tcW w:w="53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David Yu-Lung Kou</w:t>
            </w:r>
            <w:r>
              <w:rPr>
                <w:rFonts w:ascii="Times New Roman" w:cs="Times New Roman" w:eastAsia="Times New Roman" w:hAnsi="Times New Roman"/>
                <w:sz w:val="29"/>
                <w:szCs w:val="29"/>
                <w:color w:val="auto"/>
                <w:vertAlign w:val="superscript"/>
              </w:rPr>
              <w:t>(3)</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2"/>
                <w:szCs w:val="22"/>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2"/>
                <w:szCs w:val="22"/>
                <w:color w:val="auto"/>
              </w:rPr>
            </w:pPr>
          </w:p>
        </w:tc>
      </w:tr>
      <w:tr>
        <w:trPr>
          <w:trHeight w:val="216"/>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Former Acting Chief Executive Officer and Former Director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46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53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56"/>
        </w:trPr>
        <w:tc>
          <w:tcPr>
            <w:tcW w:w="530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Andy Ching-An Jin</w:t>
            </w:r>
            <w:r>
              <w:rPr>
                <w:rFonts w:ascii="Times New Roman" w:cs="Times New Roman" w:eastAsia="Times New Roman" w:hAnsi="Times New Roman"/>
                <w:sz w:val="29"/>
                <w:szCs w:val="29"/>
                <w:color w:val="auto"/>
                <w:vertAlign w:val="superscript"/>
              </w:rPr>
              <w:t>(4)</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2023</w:t>
            </w:r>
          </w:p>
        </w:tc>
        <w:tc>
          <w:tcPr>
            <w:tcW w:w="120" w:type="dxa"/>
            <w:vAlign w:val="bottom"/>
            <w:shd w:val="clear" w:color="auto" w:fill="EEEEEE"/>
          </w:tcPr>
          <w:p>
            <w:pPr>
              <w:spacing w:after="0"/>
              <w:rPr>
                <w:sz w:val="22"/>
                <w:szCs w:val="22"/>
                <w:color w:val="auto"/>
              </w:rPr>
            </w:pPr>
          </w:p>
        </w:tc>
        <w:tc>
          <w:tcPr>
            <w:tcW w:w="134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15,000</w:t>
            </w:r>
            <w:r>
              <w:rPr>
                <w:rFonts w:ascii="Times New Roman" w:cs="Times New Roman" w:eastAsia="Times New Roman" w:hAnsi="Times New Roman"/>
                <w:sz w:val="29"/>
                <w:szCs w:val="29"/>
                <w:color w:val="auto"/>
                <w:vertAlign w:val="superscript"/>
              </w:rPr>
              <w:t>(5)</w:t>
            </w:r>
          </w:p>
        </w:tc>
        <w:tc>
          <w:tcPr>
            <w:tcW w:w="120" w:type="dxa"/>
            <w:vAlign w:val="bottom"/>
            <w:shd w:val="clear" w:color="auto" w:fill="EEEEEE"/>
          </w:tcPr>
          <w:p>
            <w:pPr>
              <w:spacing w:after="0"/>
              <w:rPr>
                <w:sz w:val="22"/>
                <w:szCs w:val="22"/>
                <w:color w:val="auto"/>
              </w:rPr>
            </w:pPr>
          </w:p>
        </w:tc>
        <w:tc>
          <w:tcPr>
            <w:tcW w:w="1320" w:type="dxa"/>
            <w:vAlign w:val="bottom"/>
            <w:shd w:val="clear" w:color="auto" w:fill="EEEEEE"/>
          </w:tcPr>
          <w:p>
            <w:pPr>
              <w:spacing w:after="0" w:line="256" w:lineRule="exact"/>
              <w:rPr>
                <w:sz w:val="20"/>
                <w:szCs w:val="20"/>
                <w:color w:val="auto"/>
              </w:rPr>
            </w:pPr>
            <w:r>
              <w:rPr>
                <w:rFonts w:ascii="Times New Roman" w:cs="Times New Roman" w:eastAsia="Times New Roman" w:hAnsi="Times New Roman"/>
                <w:sz w:val="18"/>
                <w:szCs w:val="18"/>
                <w:color w:val="auto"/>
              </w:rPr>
              <w:t>106,800</w:t>
            </w:r>
            <w:r>
              <w:rPr>
                <w:rFonts w:ascii="Times New Roman" w:cs="Times New Roman" w:eastAsia="Times New Roman" w:hAnsi="Times New Roman"/>
                <w:sz w:val="29"/>
                <w:szCs w:val="29"/>
                <w:color w:val="auto"/>
                <w:vertAlign w:val="superscript"/>
              </w:rPr>
              <w:t>(5)</w:t>
            </w:r>
          </w:p>
        </w:tc>
        <w:tc>
          <w:tcPr>
            <w:tcW w:w="1460" w:type="dxa"/>
            <w:vAlign w:val="bottom"/>
            <w:gridSpan w:val="2"/>
            <w:shd w:val="clear" w:color="auto" w:fill="EEEEEE"/>
          </w:tcPr>
          <w:p>
            <w:pPr>
              <w:ind w:left="120"/>
              <w:spacing w:after="0" w:line="256" w:lineRule="exact"/>
              <w:rPr>
                <w:sz w:val="20"/>
                <w:szCs w:val="20"/>
                <w:color w:val="auto"/>
              </w:rPr>
            </w:pPr>
            <w:r>
              <w:rPr>
                <w:rFonts w:ascii="Times New Roman" w:cs="Times New Roman" w:eastAsia="Times New Roman" w:hAnsi="Times New Roman"/>
                <w:sz w:val="18"/>
                <w:szCs w:val="18"/>
                <w:color w:val="auto"/>
              </w:rPr>
              <w:t>121,800</w:t>
            </w:r>
            <w:r>
              <w:rPr>
                <w:rFonts w:ascii="Times New Roman" w:cs="Times New Roman" w:eastAsia="Times New Roman" w:hAnsi="Times New Roman"/>
                <w:sz w:val="29"/>
                <w:szCs w:val="29"/>
                <w:color w:val="auto"/>
                <w:vertAlign w:val="superscript"/>
              </w:rPr>
              <w:t>(5)</w:t>
            </w:r>
          </w:p>
        </w:tc>
        <w:tc>
          <w:tcPr>
            <w:tcW w:w="100" w:type="dxa"/>
            <w:vAlign w:val="bottom"/>
            <w:shd w:val="clear" w:color="auto" w:fill="EEEEEE"/>
          </w:tcPr>
          <w:p>
            <w:pPr>
              <w:spacing w:after="0"/>
              <w:rPr>
                <w:sz w:val="22"/>
                <w:szCs w:val="22"/>
                <w:color w:val="auto"/>
              </w:rPr>
            </w:pPr>
          </w:p>
        </w:tc>
      </w:tr>
      <w:tr>
        <w:trPr>
          <w:trHeight w:val="216"/>
        </w:trPr>
        <w:tc>
          <w:tcPr>
            <w:tcW w:w="53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Chief Executive Officer</w:t>
            </w:r>
          </w:p>
        </w:tc>
        <w:tc>
          <w:tcPr>
            <w:tcW w:w="148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2022</w:t>
            </w:r>
          </w:p>
        </w:tc>
        <w:tc>
          <w:tcPr>
            <w:tcW w:w="120" w:type="dxa"/>
            <w:vAlign w:val="bottom"/>
            <w:shd w:val="clear" w:color="auto" w:fill="EEEEEE"/>
          </w:tcPr>
          <w:p>
            <w:pPr>
              <w:spacing w:after="0"/>
              <w:rPr>
                <w:sz w:val="18"/>
                <w:szCs w:val="18"/>
                <w:color w:val="auto"/>
              </w:rPr>
            </w:pPr>
          </w:p>
        </w:tc>
        <w:tc>
          <w:tcPr>
            <w:tcW w:w="14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3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c>
          <w:tcPr>
            <w:tcW w:w="1560" w:type="dxa"/>
            <w:vAlign w:val="bottom"/>
            <w:gridSpan w:val="3"/>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r>
    </w:tbl>
    <w:p>
      <w:pPr>
        <w:spacing w:after="0" w:line="198" w:lineRule="exact"/>
        <w:rPr>
          <w:sz w:val="20"/>
          <w:szCs w:val="20"/>
          <w:color w:val="auto"/>
        </w:rPr>
      </w:pPr>
    </w:p>
    <w:p>
      <w:pPr>
        <w:ind w:left="340" w:hanging="332"/>
        <w:spacing w:after="0" w:line="261"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amounts shown represent the aggregate grant date fair value of these warrant awards granted during each fiscal year shown, computed in accordance with FASB ASC Topic 718.</w:t>
      </w:r>
    </w:p>
    <w:p>
      <w:pPr>
        <w:jc w:val="both"/>
        <w:ind w:left="340" w:hanging="332"/>
        <w:spacing w:after="0" w:line="250"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none of the Series A warrants were outstanding.</w:t>
      </w:r>
    </w:p>
    <w:p>
      <w:pPr>
        <w:spacing w:after="0" w:line="2" w:lineRule="exact"/>
        <w:rPr>
          <w:rFonts w:ascii="Times New Roman" w:cs="Times New Roman" w:eastAsia="Times New Roman" w:hAnsi="Times New Roman"/>
          <w:sz w:val="18"/>
          <w:szCs w:val="18"/>
          <w:color w:val="auto"/>
        </w:rPr>
      </w:pPr>
    </w:p>
    <w:p>
      <w:pPr>
        <w:ind w:left="340" w:right="20" w:hanging="332"/>
        <w:spacing w:after="0" w:line="250" w:lineRule="auto"/>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Due to the passing of Yin-Chieh (“Jeff”) Cheng, the Board appointed David Yu-Lung Kou as acting Chief Executive Officer of the Company effective July 13, 2023. Mr. Kou resigned on July 27, 2023.</w:t>
      </w:r>
    </w:p>
    <w:p>
      <w:pPr>
        <w:ind w:left="340" w:hanging="332"/>
        <w:spacing w:after="0"/>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July 31, 2023, the Board appointed Andy Ching-An Jin as Chief Executive Officer of the Company effective July 31, 2023.</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Andy Ching-An Jin is paid a salary of $36,000 per year as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spacing w:after="0"/>
        <w:rPr>
          <w:sz w:val="20"/>
          <w:szCs w:val="20"/>
          <w:color w:val="auto"/>
        </w:rPr>
      </w:pPr>
      <w:r>
        <w:rPr>
          <w:rFonts w:ascii="Times New Roman" w:cs="Times New Roman" w:eastAsia="Times New Roman" w:hAnsi="Times New Roman"/>
          <w:sz w:val="18"/>
          <w:szCs w:val="18"/>
          <w:b w:val="1"/>
          <w:bCs w:val="1"/>
          <w:color w:val="auto"/>
        </w:rPr>
        <w:t>Employment Agreements</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u w:val="single" w:color="auto"/>
          <w:color w:val="auto"/>
        </w:rPr>
        <w:t>Jin Employment Agreement</w:t>
      </w:r>
      <w:r>
        <w:rPr>
          <w:rFonts w:ascii="Times New Roman" w:cs="Times New Roman" w:eastAsia="Times New Roman" w:hAnsi="Times New Roman"/>
          <w:sz w:val="18"/>
          <w:szCs w:val="18"/>
          <w:color w:val="auto"/>
        </w:rPr>
        <w:t>. We entered into an Employment Agreement dated as of July 31, 2023 (the “Jin Employment Agreement”). The term of the Jin 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w:t>
      </w:r>
    </w:p>
    <w:p>
      <w:pPr>
        <w:spacing w:after="0" w:line="1" w:lineRule="exact"/>
        <w:rPr>
          <w:sz w:val="20"/>
          <w:szCs w:val="20"/>
          <w:color w:val="auto"/>
        </w:rPr>
      </w:pPr>
    </w:p>
    <w:p>
      <w:pPr>
        <w:jc w:val="both"/>
        <w:ind w:firstLine="8"/>
        <w:spacing w:after="0" w:line="252" w:lineRule="auto"/>
        <w:tabs>
          <w:tab w:leader="none" w:pos="307"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spacing w:after="0" w:line="19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u w:val="single" w:color="auto"/>
          <w:color w:val="auto"/>
        </w:rPr>
        <w:t>Chuang Employment Agreement</w:t>
      </w:r>
      <w:r>
        <w:rPr>
          <w:rFonts w:ascii="Times New Roman" w:cs="Times New Roman" w:eastAsia="Times New Roman" w:hAnsi="Times New Roman"/>
          <w:sz w:val="18"/>
          <w:szCs w:val="18"/>
          <w:color w:val="auto"/>
        </w:rPr>
        <w:t>. We entered into an Employment Agreement dated as of August 16, 2019, as amended by that certain Addendum dated as 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spacing w:after="0" w:line="187"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u w:val="single" w:color="auto"/>
          <w:color w:val="auto"/>
        </w:rPr>
        <w:t>Lindberg Employment Agreement</w:t>
      </w:r>
      <w:r>
        <w:rPr>
          <w:rFonts w:ascii="Times New Roman" w:cs="Times New Roman" w:eastAsia="Times New Roman" w:hAnsi="Times New Roman"/>
          <w:sz w:val="18"/>
          <w:szCs w:val="18"/>
          <w:color w:val="auto"/>
        </w:rPr>
        <w:t>. We entered into an Employment Agreement dated as of January 3, 2022, with Gerald H. Lindberg, our Secretary and 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We also granted Mr. Lindberg 60,000 Class C Warrants consisting of the right to purchase a total of 40,000 shares of our common stock for $3.75 per share from the date of issuance, of which 20,000 Class C Warrants shall vest annually over a total period of three years.</w:t>
      </w: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both"/>
        <w:ind w:firstLine="648"/>
        <w:spacing w:after="0" w:line="252" w:lineRule="auto"/>
        <w:rPr>
          <w:sz w:val="20"/>
          <w:szCs w:val="20"/>
          <w:color w:val="auto"/>
        </w:rPr>
      </w:pPr>
      <w:r>
        <w:rPr>
          <w:rFonts w:ascii="Times New Roman" w:cs="Times New Roman" w:eastAsia="Times New Roman" w:hAnsi="Times New Roman"/>
          <w:sz w:val="18"/>
          <w:szCs w:val="18"/>
          <w:u w:val="single" w:color="auto"/>
          <w:color w:val="auto"/>
        </w:rPr>
        <w:t>Chen Employment Agreement</w:t>
      </w:r>
      <w:r>
        <w:rPr>
          <w:rFonts w:ascii="Times New Roman" w:cs="Times New Roman" w:eastAsia="Times New Roman" w:hAnsi="Times New Roman"/>
          <w:sz w:val="18"/>
          <w:szCs w:val="18"/>
          <w:color w:val="auto"/>
        </w:rPr>
        <w:t>. We entered into an Employment Agreement dated as of January 5, 2024 (the “Chen Employment Agreement”). The term of 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Compensation</w:t>
      </w:r>
    </w:p>
    <w:p>
      <w:pPr>
        <w:spacing w:after="0" w:line="22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u w:val="single" w:color="auto"/>
          <w:color w:val="auto"/>
        </w:rPr>
        <w:t>Cheng Consulting Agreement</w:t>
      </w:r>
      <w:r>
        <w:rPr>
          <w:rFonts w:ascii="Times New Roman" w:cs="Times New Roman" w:eastAsia="Times New Roman" w:hAnsi="Times New Roman"/>
          <w:sz w:val="18"/>
          <w:szCs w:val="18"/>
          <w:i w:val="1"/>
          <w:iCs w:val="1"/>
          <w:color w:val="auto"/>
        </w:rPr>
        <w:t>.</w:t>
      </w:r>
      <w:r>
        <w:rPr>
          <w:rFonts w:ascii="Times New Roman" w:cs="Times New Roman" w:eastAsia="Times New Roman" w:hAnsi="Times New Roman"/>
          <w:sz w:val="18"/>
          <w:szCs w:val="18"/>
          <w:color w:val="auto"/>
        </w:rPr>
        <w:t xml:space="preserve"> We entered into a Consulting Agreement on December 27, 2018 with Yin-Chieh (“Jeff”) Cheng, our Chairman of the Board, President, Chief Executive Officer and Director (the “Cheng Consulting Agreement”). The Cheng Consulting Agreement appoints Mr. Cheng as our Chairman of the Board and a Director. The term of Mr. Cheng’s appointment of such positions is for the period between December 27, 2018 and December 27, 2023. We or Mr. Cheng may immediately terminate the Cheng Consulting Agreement upon a material breach by the other party that has not been cured to the terminating party’s satisfaction within 30 days following written notice of said breach. Mr. Cheng may terminate on 30 days’ written notice for our uncured failure to meet our payment obligations within 30 days of receiving written notice of such failure from Mr. Cheng. We do not pay Mr. Cheng any cash compensation for his roles as our Chairman of the Board and a Director. We, however, agreed to issue Mr. Cheng 250,000 Series A warrants per quarter for 20 quarters (i.e., 5 years) for a total amount of 5,000,000 (or 3,333,334 post-split) Series A warrants, subject to his continued services as our Chairman of the Board and a Director. Each Series A warrant is exercisable to purchase one share of common stock from the date of vesting until April 23, 2026. As of December 31, 2023, none of the Series A warrants were outstanding</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Our directors are reimbursed for expenses incurred by them in connection with attending Board meetings. However, our directors, other than Mr. Cheng, do not receive any other compensation for serving on the Board.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Outstanding Equity Awards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As of November 5, 2024, there are no equity awards held by the named executive officers.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Severance and Change in Control Benefits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Benefits</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Nocera, Inc. 2018 Stock Option and Award Incentive Plan (the “Equity Incentive Plan”) and our 401(k) plan, in each case on the same basis as other employees, subject to applicable law, should such benefits exist. At this time, we do not provide special benefits or other perquisites to our executive officers.</w:t>
      </w:r>
    </w:p>
    <w:p>
      <w:pPr>
        <w:spacing w:after="0" w:line="200" w:lineRule="exact"/>
        <w:rPr>
          <w:sz w:val="20"/>
          <w:szCs w:val="20"/>
          <w:color w:val="auto"/>
        </w:rPr>
      </w:pPr>
    </w:p>
    <w:p>
      <w:pPr>
        <w:spacing w:after="0" w:line="30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spacing w:after="0"/>
        <w:rPr>
          <w:sz w:val="20"/>
          <w:szCs w:val="20"/>
          <w:color w:val="auto"/>
        </w:rPr>
      </w:pPr>
      <w:r>
        <w:rPr>
          <w:rFonts w:ascii="Times New Roman" w:cs="Times New Roman" w:eastAsia="Times New Roman" w:hAnsi="Times New Roman"/>
          <w:sz w:val="18"/>
          <w:szCs w:val="18"/>
          <w:b w:val="1"/>
          <w:bCs w:val="1"/>
          <w:color w:val="auto"/>
        </w:rPr>
        <w:t>The 2018 Equity Incentive Plan</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2018, the Board and shareholders adopted the Nocera, Inc. 2018 Stock Option and Award Incentive Plan, effective December 31, 2018. The Equity Incentive Plan provides for the grant of the following types of stock awards: (i) incentive stock options, (ii) non-statutory stock options, and (iii) stock purchase rights. The Equity Incentive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Equity Incentive Plan is administered by the Compensation Committee. The Board reserved 6,666,667 (post-split) shares of common stock under the Equity Incentive Plan. No awards have been granted to any of our officers or directors pursuant to the Equity Incentive Plan.</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Indemnification</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spacing w:after="0" w:line="18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jc w:val="center"/>
        <w:spacing w:after="0"/>
        <w:rPr>
          <w:sz w:val="20"/>
          <w:szCs w:val="20"/>
          <w:color w:val="auto"/>
        </w:rPr>
      </w:pPr>
      <w:r>
        <w:rPr>
          <w:rFonts w:ascii="Times New Roman" w:cs="Times New Roman" w:eastAsia="Times New Roman" w:hAnsi="Times New Roman"/>
          <w:sz w:val="18"/>
          <w:szCs w:val="18"/>
          <w:b w:val="1"/>
          <w:bCs w:val="1"/>
          <w:color w:val="auto"/>
        </w:rPr>
        <w:t>SECURITY OWNERSHIP OF CERTAIN BENEFICIAL OWNERS AND MANAGEMENT</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following table sets forth certain information, as of October 30, 2024 with respect to the holdings of (1) each person who is the beneficial owner of more than 5% of our voting stock, (2) each of our directors, (3) each executive officer and (4) all of our current directors and executive officers as a group.</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October 30, 2024. Except as otherwise indicated, we believe that the persons named in this table have sole voting and investment power with respect to all shares of voting stock held by them. Applicable percentage ownership in the following table is based on 13,816,987 shares of common stock issued and outstanding on October 30, 2024, plus, for each individual, any securities that individual has the right to acquire within 60 days of October 30, 2024.</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spacing w:after="0" w:line="17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Percentage of</w:t>
            </w:r>
          </w:p>
        </w:tc>
      </w:t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Outstanding</w:t>
            </w:r>
          </w:p>
        </w:tc>
      </w:tr>
      <w:tr>
        <w:trPr>
          <w:trHeight w:val="225"/>
        </w:trPr>
        <w:tc>
          <w:tcPr>
            <w:tcW w:w="450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Name and Address</w:t>
            </w:r>
          </w:p>
        </w:tc>
        <w:tc>
          <w:tcPr>
            <w:tcW w:w="120" w:type="dxa"/>
            <w:vAlign w:val="bottom"/>
          </w:tcPr>
          <w:p>
            <w:pPr>
              <w:spacing w:after="0"/>
              <w:rPr>
                <w:sz w:val="19"/>
                <w:szCs w:val="19"/>
                <w:color w:val="auto"/>
              </w:rPr>
            </w:pPr>
          </w:p>
        </w:tc>
        <w:tc>
          <w:tcPr>
            <w:tcW w:w="3120" w:type="dxa"/>
            <w:vAlign w:val="bottom"/>
          </w:tcPr>
          <w:p>
            <w:pPr>
              <w:spacing w:after="0"/>
              <w:rPr>
                <w:sz w:val="19"/>
                <w:szCs w:val="19"/>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Beneficially</w:t>
            </w:r>
          </w:p>
        </w:tc>
        <w:tc>
          <w:tcPr>
            <w:tcW w:w="26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Shares of</w:t>
            </w:r>
          </w:p>
        </w:tc>
      </w:tr>
      <w:tr>
        <w:trPr>
          <w:trHeight w:val="270"/>
        </w:trPr>
        <w:tc>
          <w:tcPr>
            <w:tcW w:w="4500" w:type="dxa"/>
            <w:vAlign w:val="bottom"/>
          </w:tcPr>
          <w:p>
            <w:pPr>
              <w:spacing w:after="0" w:line="270" w:lineRule="exact"/>
              <w:rPr>
                <w:sz w:val="20"/>
                <w:szCs w:val="20"/>
                <w:color w:val="auto"/>
              </w:rPr>
            </w:pPr>
            <w:r>
              <w:rPr>
                <w:rFonts w:ascii="Times New Roman" w:cs="Times New Roman" w:eastAsia="Times New Roman" w:hAnsi="Times New Roman"/>
                <w:sz w:val="18"/>
                <w:szCs w:val="18"/>
                <w:b w:val="1"/>
                <w:bCs w:val="1"/>
                <w:color w:val="auto"/>
              </w:rPr>
              <w:t>of Beneficial Owner</w:t>
            </w:r>
            <w:r>
              <w:rPr>
                <w:rFonts w:ascii="Times New Roman" w:cs="Times New Roman" w:eastAsia="Times New Roman" w:hAnsi="Times New Roman"/>
                <w:sz w:val="29"/>
                <w:szCs w:val="29"/>
                <w:b w:val="1"/>
                <w:bCs w:val="1"/>
                <w:color w:val="auto"/>
                <w:vertAlign w:val="superscript"/>
              </w:rPr>
              <w:t>(1)</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b w:val="1"/>
                <w:bCs w:val="1"/>
                <w:color w:val="auto"/>
              </w:rPr>
              <w:t>owned</w:t>
            </w:r>
          </w:p>
        </w:tc>
        <w:tc>
          <w:tcPr>
            <w:tcW w:w="260" w:type="dxa"/>
            <w:vAlign w:val="bottom"/>
          </w:tcPr>
          <w:p>
            <w:pPr>
              <w:spacing w:after="0"/>
              <w:rPr>
                <w:sz w:val="23"/>
                <w:szCs w:val="23"/>
                <w:color w:val="auto"/>
              </w:rPr>
            </w:pPr>
          </w:p>
        </w:tc>
        <w:tc>
          <w:tcPr>
            <w:tcW w:w="380" w:type="dxa"/>
            <w:vAlign w:val="bottom"/>
          </w:tcPr>
          <w:p>
            <w:pPr>
              <w:spacing w:after="0"/>
              <w:rPr>
                <w:sz w:val="23"/>
                <w:szCs w:val="23"/>
                <w:color w:val="auto"/>
              </w:rPr>
            </w:pPr>
          </w:p>
        </w:tc>
        <w:tc>
          <w:tcPr>
            <w:tcW w:w="1560" w:type="dxa"/>
            <w:vAlign w:val="bottom"/>
            <w:gridSpan w:val="2"/>
          </w:tcPr>
          <w:p>
            <w:pPr>
              <w:spacing w:after="0" w:line="270" w:lineRule="exact"/>
              <w:rPr>
                <w:sz w:val="20"/>
                <w:szCs w:val="20"/>
                <w:color w:val="auto"/>
              </w:rPr>
            </w:pP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29"/>
                <w:szCs w:val="29"/>
                <w:b w:val="1"/>
                <w:bCs w:val="1"/>
                <w:color w:val="auto"/>
                <w:vertAlign w:val="superscript"/>
              </w:rPr>
              <w:t>(2)</w:t>
            </w:r>
          </w:p>
        </w:tc>
      </w:tr>
      <w:tr>
        <w:trPr>
          <w:trHeight w:val="210"/>
        </w:trPr>
        <w:tc>
          <w:tcPr>
            <w:tcW w:w="450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w:t>
            </w:r>
          </w:p>
        </w:tc>
        <w:tc>
          <w:tcPr>
            <w:tcW w:w="120" w:type="dxa"/>
            <w:vAlign w:val="bottom"/>
          </w:tcPr>
          <w:p>
            <w:pPr>
              <w:spacing w:after="0"/>
              <w:rPr>
                <w:sz w:val="18"/>
                <w:szCs w:val="18"/>
                <w:color w:val="auto"/>
              </w:rPr>
            </w:pPr>
          </w:p>
        </w:tc>
        <w:tc>
          <w:tcPr>
            <w:tcW w:w="3120" w:type="dxa"/>
            <w:vAlign w:val="bottom"/>
            <w:tcBorders>
              <w:top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Borders>
              <w:top w:val="single" w:sz="8" w:color="auto"/>
            </w:tcBorders>
          </w:tcPr>
          <w:p>
            <w:pPr>
              <w:spacing w:after="0"/>
              <w:rPr>
                <w:sz w:val="18"/>
                <w:szCs w:val="18"/>
                <w:color w:val="auto"/>
              </w:rPr>
            </w:pPr>
          </w:p>
        </w:tc>
        <w:tc>
          <w:tcPr>
            <w:tcW w:w="260" w:type="dxa"/>
            <w:vAlign w:val="bottom"/>
            <w:tcBorders>
              <w:top w:val="single" w:sz="8" w:color="auto"/>
            </w:tcBorders>
          </w:tcPr>
          <w:p>
            <w:pPr>
              <w:spacing w:after="0"/>
              <w:rPr>
                <w:sz w:val="18"/>
                <w:szCs w:val="18"/>
                <w:color w:val="auto"/>
              </w:rPr>
            </w:pPr>
          </w:p>
        </w:tc>
        <w:tc>
          <w:tcPr>
            <w:tcW w:w="380" w:type="dxa"/>
            <w:vAlign w:val="bottom"/>
          </w:tcPr>
          <w:p>
            <w:pPr>
              <w:spacing w:after="0"/>
              <w:rPr>
                <w:sz w:val="18"/>
                <w:szCs w:val="18"/>
                <w:color w:val="auto"/>
              </w:rPr>
            </w:pPr>
          </w:p>
        </w:tc>
        <w:tc>
          <w:tcPr>
            <w:tcW w:w="1460" w:type="dxa"/>
            <w:vAlign w:val="bottom"/>
            <w:tcBorders>
              <w:top w:val="single" w:sz="8" w:color="auto"/>
            </w:tcBorders>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Andy Chin-An Jin</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Chief Executive Officer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240,000</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1.7%</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Shun-Chih (“Jimmy”) Chuang</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Chief Financial Officer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500,001</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(3)</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3.6%</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Feng-Hua (“Howard”) Chen</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Chief Operating Officer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Gerald H. Lindberg</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Secretary, Director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David Yu-Lung Kou</w:t>
            </w:r>
          </w:p>
        </w:tc>
        <w:tc>
          <w:tcPr>
            <w:tcW w:w="324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Director</w:t>
            </w: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5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Sean Filson</w:t>
            </w:r>
          </w:p>
        </w:tc>
        <w:tc>
          <w:tcPr>
            <w:tcW w:w="324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Director</w:t>
            </w: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w:t>
            </w: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5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Officers and Directors as a Group (total of 7 persons)</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740,001</w:t>
            </w: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5.3%</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4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5% Stockholders</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180" w:type="dxa"/>
            <w:vAlign w:val="bottom"/>
            <w:shd w:val="clear" w:color="auto" w:fill="EEEEEE"/>
          </w:tcPr>
          <w:p>
            <w:pPr>
              <w:spacing w:after="0"/>
              <w:rPr>
                <w:sz w:val="18"/>
                <w:szCs w:val="18"/>
                <w:color w:val="auto"/>
              </w:rPr>
            </w:pPr>
          </w:p>
        </w:tc>
        <w:tc>
          <w:tcPr>
            <w:tcW w:w="260" w:type="dxa"/>
            <w:vAlign w:val="bottom"/>
            <w:shd w:val="clear" w:color="auto" w:fill="EEEEEE"/>
          </w:tcPr>
          <w:p>
            <w:pPr>
              <w:spacing w:after="0"/>
              <w:rPr>
                <w:sz w:val="18"/>
                <w:szCs w:val="18"/>
                <w:color w:val="auto"/>
              </w:rPr>
            </w:pPr>
          </w:p>
        </w:tc>
        <w:tc>
          <w:tcPr>
            <w:tcW w:w="380" w:type="dxa"/>
            <w:vAlign w:val="bottom"/>
            <w:shd w:val="clear" w:color="auto" w:fill="EEEEEE"/>
          </w:tcPr>
          <w:p>
            <w:pPr>
              <w:spacing w:after="0"/>
              <w:rPr>
                <w:sz w:val="18"/>
                <w:szCs w:val="18"/>
                <w:color w:val="auto"/>
              </w:rPr>
            </w:pPr>
          </w:p>
        </w:tc>
        <w:tc>
          <w:tcPr>
            <w:tcW w:w="14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Marina S. Fiorino</w:t>
            </w: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695,734</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5%</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Min-Huay Cheng Lu</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876,151</w:t>
            </w:r>
          </w:p>
        </w:tc>
        <w:tc>
          <w:tcPr>
            <w:tcW w:w="6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(5)</w:t>
            </w: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6.3%</w:t>
            </w:r>
          </w:p>
        </w:tc>
        <w:tc>
          <w:tcPr>
            <w:tcW w:w="100" w:type="dxa"/>
            <w:vAlign w:val="bottom"/>
            <w:shd w:val="clear" w:color="auto" w:fill="EEEEEE"/>
          </w:tcPr>
          <w:p>
            <w:pPr>
              <w:spacing w:after="0"/>
              <w:rPr>
                <w:sz w:val="18"/>
                <w:szCs w:val="18"/>
                <w:color w:val="auto"/>
              </w:rPr>
            </w:pPr>
          </w:p>
        </w:tc>
      </w:tr>
      <w:tr>
        <w:trPr>
          <w:trHeight w:val="216"/>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Han-Chieh Shih</w:t>
            </w:r>
          </w:p>
        </w:tc>
        <w:tc>
          <w:tcPr>
            <w:tcW w:w="120" w:type="dxa"/>
            <w:vAlign w:val="bottom"/>
          </w:tcPr>
          <w:p>
            <w:pPr>
              <w:spacing w:after="0"/>
              <w:rPr>
                <w:sz w:val="18"/>
                <w:szCs w:val="18"/>
                <w:color w:val="auto"/>
              </w:rPr>
            </w:pPr>
          </w:p>
        </w:tc>
        <w:tc>
          <w:tcPr>
            <w:tcW w:w="3120" w:type="dxa"/>
            <w:vAlign w:val="bottom"/>
          </w:tcPr>
          <w:p>
            <w:pPr>
              <w:spacing w:after="0"/>
              <w:rPr>
                <w:sz w:val="18"/>
                <w:szCs w:val="18"/>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1,320,000</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(6)</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9.5%</w:t>
            </w:r>
          </w:p>
        </w:tc>
        <w:tc>
          <w:tcPr>
            <w:tcW w:w="100" w:type="dxa"/>
            <w:vAlign w:val="bottom"/>
          </w:tcPr>
          <w:p>
            <w:pPr>
              <w:spacing w:after="0"/>
              <w:rPr>
                <w:sz w:val="18"/>
                <w:szCs w:val="18"/>
                <w:color w:val="auto"/>
              </w:rPr>
            </w:pPr>
          </w:p>
        </w:tc>
      </w:tr>
      <w:tr>
        <w:trPr>
          <w:trHeight w:val="216"/>
        </w:trPr>
        <w:tc>
          <w:tcPr>
            <w:tcW w:w="45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Erik Nelson</w:t>
            </w:r>
          </w:p>
        </w:tc>
        <w:tc>
          <w:tcPr>
            <w:tcW w:w="120" w:type="dxa"/>
            <w:vAlign w:val="bottom"/>
            <w:shd w:val="clear" w:color="auto" w:fill="EEEEEE"/>
          </w:tcPr>
          <w:p>
            <w:pPr>
              <w:spacing w:after="0"/>
              <w:rPr>
                <w:sz w:val="18"/>
                <w:szCs w:val="18"/>
                <w:color w:val="auto"/>
              </w:rPr>
            </w:pPr>
          </w:p>
        </w:tc>
        <w:tc>
          <w:tcPr>
            <w:tcW w:w="3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ind w:left="120"/>
              <w:spacing w:after="0"/>
              <w:rPr>
                <w:sz w:val="20"/>
                <w:szCs w:val="20"/>
                <w:color w:val="auto"/>
              </w:rPr>
            </w:pPr>
            <w:r>
              <w:rPr>
                <w:rFonts w:ascii="Times New Roman" w:cs="Times New Roman" w:eastAsia="Times New Roman" w:hAnsi="Times New Roman"/>
                <w:sz w:val="18"/>
                <w:szCs w:val="18"/>
                <w:color w:val="auto"/>
              </w:rPr>
              <w:t>646,553</w:t>
            </w:r>
          </w:p>
        </w:tc>
        <w:tc>
          <w:tcPr>
            <w:tcW w:w="64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8"/>
                <w:szCs w:val="18"/>
                <w:color w:val="auto"/>
              </w:rPr>
              <w:t>(7)</w:t>
            </w:r>
          </w:p>
        </w:tc>
        <w:tc>
          <w:tcPr>
            <w:tcW w:w="14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4.6%</w:t>
            </w:r>
          </w:p>
        </w:tc>
        <w:tc>
          <w:tcPr>
            <w:tcW w:w="100" w:type="dxa"/>
            <w:vAlign w:val="bottom"/>
            <w:shd w:val="clear" w:color="auto" w:fill="EEEEEE"/>
          </w:tcPr>
          <w:p>
            <w:pPr>
              <w:spacing w:after="0"/>
              <w:rPr>
                <w:sz w:val="18"/>
                <w:szCs w:val="18"/>
                <w:color w:val="auto"/>
              </w:rPr>
            </w:pPr>
          </w:p>
        </w:tc>
      </w:tr>
      <w:tr>
        <w:trPr>
          <w:trHeight w:val="234"/>
        </w:trPr>
        <w:tc>
          <w:tcPr>
            <w:tcW w:w="4500" w:type="dxa"/>
            <w:vAlign w:val="bottom"/>
          </w:tcPr>
          <w:p>
            <w:pPr>
              <w:spacing w:after="0"/>
              <w:rPr>
                <w:sz w:val="20"/>
                <w:szCs w:val="20"/>
                <w:color w:val="auto"/>
              </w:rPr>
            </w:pPr>
            <w:r>
              <w:rPr>
                <w:rFonts w:ascii="Times New Roman" w:cs="Times New Roman" w:eastAsia="Times New Roman" w:hAnsi="Times New Roman"/>
                <w:sz w:val="18"/>
                <w:szCs w:val="18"/>
                <w:color w:val="auto"/>
              </w:rPr>
              <w:t>Yin-Chieh Cheng Estate</w:t>
            </w:r>
          </w:p>
        </w:tc>
        <w:tc>
          <w:tcPr>
            <w:tcW w:w="120" w:type="dxa"/>
            <w:vAlign w:val="bottom"/>
          </w:tcPr>
          <w:p>
            <w:pPr>
              <w:spacing w:after="0"/>
              <w:rPr>
                <w:sz w:val="20"/>
                <w:szCs w:val="20"/>
                <w:color w:val="auto"/>
              </w:rPr>
            </w:pPr>
          </w:p>
        </w:tc>
        <w:tc>
          <w:tcPr>
            <w:tcW w:w="3120" w:type="dxa"/>
            <w:vAlign w:val="bottom"/>
          </w:tcPr>
          <w:p>
            <w:pPr>
              <w:spacing w:after="0"/>
              <w:rPr>
                <w:sz w:val="20"/>
                <w:szCs w:val="20"/>
                <w:color w:val="auto"/>
              </w:rPr>
            </w:pPr>
          </w:p>
        </w:tc>
        <w:tc>
          <w:tcPr>
            <w:tcW w:w="1300" w:type="dxa"/>
            <w:vAlign w:val="bottom"/>
            <w:gridSpan w:val="2"/>
          </w:tcPr>
          <w:p>
            <w:pPr>
              <w:ind w:left="120"/>
              <w:spacing w:after="0"/>
              <w:rPr>
                <w:sz w:val="20"/>
                <w:szCs w:val="20"/>
                <w:color w:val="auto"/>
              </w:rPr>
            </w:pPr>
            <w:r>
              <w:rPr>
                <w:rFonts w:ascii="Times New Roman" w:cs="Times New Roman" w:eastAsia="Times New Roman" w:hAnsi="Times New Roman"/>
                <w:sz w:val="18"/>
                <w:szCs w:val="18"/>
                <w:color w:val="auto"/>
              </w:rPr>
              <w:t>4,586,083</w:t>
            </w:r>
          </w:p>
        </w:tc>
        <w:tc>
          <w:tcPr>
            <w:tcW w:w="6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(8)</w:t>
            </w:r>
          </w:p>
        </w:tc>
        <w:tc>
          <w:tcPr>
            <w:tcW w:w="1460" w:type="dxa"/>
            <w:vAlign w:val="bottom"/>
          </w:tcPr>
          <w:p>
            <w:pPr>
              <w:spacing w:after="0"/>
              <w:rPr>
                <w:sz w:val="20"/>
                <w:szCs w:val="20"/>
                <w:color w:val="auto"/>
              </w:rPr>
            </w:pPr>
            <w:r>
              <w:rPr>
                <w:rFonts w:ascii="Times New Roman" w:cs="Times New Roman" w:eastAsia="Times New Roman" w:hAnsi="Times New Roman"/>
                <w:sz w:val="18"/>
                <w:szCs w:val="18"/>
                <w:color w:val="auto"/>
              </w:rPr>
              <w:t>32.9%</w:t>
            </w:r>
          </w:p>
        </w:tc>
        <w:tc>
          <w:tcPr>
            <w:tcW w:w="100" w:type="dxa"/>
            <w:vAlign w:val="bottom"/>
          </w:tcPr>
          <w:p>
            <w:pPr>
              <w:spacing w:after="0"/>
              <w:rPr>
                <w:sz w:val="20"/>
                <w:szCs w:val="20"/>
                <w:color w:val="auto"/>
              </w:rPr>
            </w:pPr>
          </w:p>
        </w:tc>
      </w:tr>
    </w:tbl>
    <w:p>
      <w:pPr>
        <w:spacing w:after="0" w:line="179" w:lineRule="exact"/>
        <w:rPr>
          <w:sz w:val="20"/>
          <w:szCs w:val="20"/>
          <w:color w:val="auto"/>
        </w:rPr>
      </w:pPr>
    </w:p>
    <w:p>
      <w:pPr>
        <w:ind w:left="340" w:hanging="332"/>
        <w:spacing w:after="0" w:line="261"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Unless otherwise indicated, the principal address of the named officers and directors c/o Nocera, Inc., 3F (Building B), No. 185, Sec. 1, Datong Rd., Xizhi Dist., New Taipei City 221, Taiwan.</w:t>
      </w: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13,816,987 shares of common stock issued and outstanding as of October 30, 2024.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p>
      <w:pPr>
        <w:spacing w:after="0" w:line="1"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125,000 shares of common stock issuable upon the exercise of Class A Warrants at a price of $0.75 per share until April 23, 2026.</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address for Ms. Fiorino is 1 San Marzano sul Sarno, Italy 84010.</w:t>
      </w:r>
    </w:p>
    <w:p>
      <w:pPr>
        <w:spacing w:after="0" w:line="9" w:lineRule="exact"/>
        <w:rPr>
          <w:rFonts w:ascii="Times New Roman" w:cs="Times New Roman" w:eastAsia="Times New Roman" w:hAnsi="Times New Roman"/>
          <w:sz w:val="18"/>
          <w:szCs w:val="18"/>
          <w:color w:val="auto"/>
        </w:rPr>
      </w:pPr>
    </w:p>
    <w:p>
      <w:pPr>
        <w:ind w:left="340" w:hanging="332"/>
        <w:spacing w:after="0"/>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Ms. Cheng Lu’s business address is 15F., No. 464, Sec 3, Jiayuan Rd., Shulin Dist., New Taipei City 238665, Republic of China.</w:t>
      </w:r>
    </w:p>
    <w:p>
      <w:pPr>
        <w:spacing w:after="0" w:line="9"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53,334 shares of common stock issuable upon the conversion of 80,000 shares of Series A Preferred Stock; (ii) 620,000 shares of common stock issuable upon the exercise of Class C Warrants for $3.75 per share until December 31, 2024; (iii) 620,000 shares of common stock issuable upon the exercise of Class D Warrants for $7.50 per share until December 31, 2024. Mr. Shih’s business address is 7F., No. 262, Zhong Zheng Rd., Xizhi Dist., New Taipei City 22109, Republic of China.</w:t>
      </w:r>
    </w:p>
    <w:p>
      <w:pPr>
        <w:spacing w:after="0" w:line="1" w:lineRule="exact"/>
        <w:rPr>
          <w:rFonts w:ascii="Times New Roman" w:cs="Times New Roman" w:eastAsia="Times New Roman" w:hAnsi="Times New Roman"/>
          <w:sz w:val="18"/>
          <w:szCs w:val="18"/>
          <w:color w:val="auto"/>
        </w:rPr>
      </w:pPr>
    </w:p>
    <w:p>
      <w:pPr>
        <w:jc w:val="both"/>
        <w:ind w:left="340" w:hanging="332"/>
        <w:spacing w:after="0" w:line="25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p>
      <w:pPr>
        <w:spacing w:after="0" w:line="2" w:lineRule="exact"/>
        <w:rPr>
          <w:rFonts w:ascii="Times New Roman" w:cs="Times New Roman" w:eastAsia="Times New Roman" w:hAnsi="Times New Roman"/>
          <w:sz w:val="18"/>
          <w:szCs w:val="18"/>
          <w:color w:val="auto"/>
        </w:rPr>
      </w:pPr>
    </w:p>
    <w:p>
      <w:pPr>
        <w:ind w:left="340" w:hanging="332"/>
        <w:spacing w:after="0" w:line="260" w:lineRule="auto"/>
        <w:tabs>
          <w:tab w:leader="none" w:pos="34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Mr. Cheng is our former Chief Executive Officer, former President, former Chairman of the Board, and former director. His address is 15F., No. 464, Sec 3, Jiayuan Rd., Shulin Dist., New Taipei City 238665, Taiwan (R.O.C.).</w:t>
      </w:r>
    </w:p>
    <w:p>
      <w:pPr>
        <w:spacing w:after="0" w:line="200" w:lineRule="exact"/>
        <w:rPr>
          <w:sz w:val="20"/>
          <w:szCs w:val="20"/>
          <w:color w:val="auto"/>
        </w:r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4" w:name="page25"/>
    <w:bookmarkEnd w:id="24"/>
    <w:p>
      <w:pPr>
        <w:jc w:val="center"/>
        <w:spacing w:after="0"/>
        <w:rPr>
          <w:sz w:val="20"/>
          <w:szCs w:val="20"/>
          <w:color w:val="auto"/>
        </w:rPr>
      </w:pPr>
      <w:r>
        <w:rPr>
          <w:rFonts w:ascii="Times New Roman" w:cs="Times New Roman" w:eastAsia="Times New Roman" w:hAnsi="Times New Roman"/>
          <w:sz w:val="18"/>
          <w:szCs w:val="18"/>
          <w:b w:val="1"/>
          <w:bCs w:val="1"/>
          <w:color w:val="auto"/>
        </w:rPr>
        <w:t>SECTION 16(A) BENEFICIAL OWNERSHIP REPORTING COMPLIANCE</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Section 16(a) of the Exchange Act (“Section 16(a)”) requires our directors and executive officers and persons who own more than ten percent of our common stock (“Section 16 Insiders”) to file with the SEC initial reports of ownership and reports of changes in ownership of our common stock.</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To our knowledge based solely on a review of the copies of such reports furnished to us and the Section 16 Insiders’ representations to us, for the year ended December 31, 2023, our Section 16 Insiders complied with their respective filing requirements under Section 16(a) on a timely basis. All of Yin-Chieh Cheng’s shares are in probate as of October 30, 2024.</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2023.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and (iv)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Cheng Lu Min Huay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both"/>
        <w:spacing w:after="0" w:line="286" w:lineRule="auto"/>
        <w:rPr>
          <w:sz w:val="20"/>
          <w:szCs w:val="20"/>
          <w:color w:val="auto"/>
        </w:rPr>
      </w:pPr>
      <w:r>
        <w:rPr>
          <w:rFonts w:ascii="Times New Roman" w:cs="Times New Roman" w:eastAsia="Times New Roman" w:hAnsi="Times New Roman"/>
          <w:sz w:val="18"/>
          <w:szCs w:val="18"/>
          <w:b w:val="1"/>
          <w:bCs w:val="1"/>
          <w:color w:val="auto"/>
        </w:rPr>
        <w:t>PROPOSAL No. 2: RATIFICATION OF APPOINTMENT OF ENMORE LLP AS THE INDEPENDENT AUDITOR OF THE COMPANY FOR THE FISCAL YEAR ENDING DECEMBER 31, 2024.</w:t>
      </w:r>
    </w:p>
    <w:p>
      <w:pPr>
        <w:spacing w:after="0" w:line="15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Audit Committee is responsible for selecting Nocera’s independent auditors.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On October 16, 2024, the auditor of Nocera, Centurion ZD CPA &amp; Co. (“CZD”), resigned as the Company’s independent registered public accounting firm.</w:t>
      </w:r>
    </w:p>
    <w:p>
      <w:pPr>
        <w:spacing w:after="0" w:line="162"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On October 16, 2024, the Company’s Audit Committee approved, and the Company’s Board of Directors ratified, the engagement of Enmore LLP, and appointed Enmore LLP as the Company’s independent registered public accounting firm as of October 16, 2024.</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Although shareholder approval for this appointment is not required, the Audit Committee and the Board of Directors are submitting the selection of Enmore LLP or ratification to obtain the views of shareholders as a matter of good corporate governance. Even if the selection is ratified, the Board and the Audit Committee may, in their discretion, direct the appointment of a different independent registered public accounting firm at any time during the year if they determine that such a change would be in the best interests of our Company and our shareholders.</w:t>
      </w:r>
    </w:p>
    <w:p>
      <w:pPr>
        <w:spacing w:after="0" w:line="180"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Nocera expects representatives of Enmore LLP to be present at the Annual Meeting and available to respond to questions which may be raised there. These representatives may comment on the financial statements if they so desire.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Principal Accountant Fees and Services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During the years ended December 31, 2023 and 2022, we engaged Centurion ZD CPA &amp; Co. as our independent registered accounting firm. For the years ended December 31, 2023 and 2022, we incurred fees, as discussed below:</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660" w:type="dxa"/>
            <w:vAlign w:val="bottom"/>
          </w:tcPr>
          <w:p>
            <w:pPr>
              <w:spacing w:after="0"/>
              <w:rPr>
                <w:sz w:val="20"/>
                <w:szCs w:val="20"/>
                <w:color w:val="auto"/>
              </w:rPr>
            </w:pPr>
          </w:p>
        </w:tc>
        <w:tc>
          <w:tcPr>
            <w:tcW w:w="3000" w:type="dxa"/>
            <w:vAlign w:val="bottom"/>
          </w:tcPr>
          <w:p>
            <w:pPr>
              <w:spacing w:after="0"/>
              <w:rPr>
                <w:sz w:val="20"/>
                <w:szCs w:val="20"/>
                <w:color w:val="auto"/>
              </w:rPr>
            </w:pPr>
          </w:p>
        </w:tc>
        <w:tc>
          <w:tcPr>
            <w:tcW w:w="3580" w:type="dxa"/>
            <w:vAlign w:val="bottom"/>
            <w:gridSpan w:val="6"/>
          </w:tcPr>
          <w:p>
            <w:pPr>
              <w:ind w:left="500"/>
              <w:spacing w:after="0"/>
              <w:rPr>
                <w:sz w:val="20"/>
                <w:szCs w:val="20"/>
                <w:color w:val="auto"/>
              </w:rPr>
            </w:pPr>
            <w:r>
              <w:rPr>
                <w:rFonts w:ascii="Times New Roman" w:cs="Times New Roman" w:eastAsia="Times New Roman" w:hAnsi="Times New Roman"/>
                <w:sz w:val="18"/>
                <w:szCs w:val="18"/>
                <w:b w:val="1"/>
                <w:bCs w:val="1"/>
                <w:color w:val="auto"/>
              </w:rPr>
              <w:t>Fiscal Year Ended December 31,</w:t>
            </w:r>
          </w:p>
        </w:tc>
      </w:tr>
      <w:tr>
        <w:trPr>
          <w:trHeight w:val="223"/>
        </w:trPr>
        <w:tc>
          <w:tcPr>
            <w:tcW w:w="4660" w:type="dxa"/>
            <w:vAlign w:val="bottom"/>
            <w:tcBorders>
              <w:bottom w:val="single" w:sz="8" w:color="EEEEEE"/>
            </w:tcBorders>
          </w:tcPr>
          <w:p>
            <w:pPr>
              <w:spacing w:after="0"/>
              <w:rPr>
                <w:sz w:val="19"/>
                <w:szCs w:val="19"/>
                <w:color w:val="auto"/>
              </w:rPr>
            </w:pPr>
          </w:p>
        </w:tc>
        <w:tc>
          <w:tcPr>
            <w:tcW w:w="3000" w:type="dxa"/>
            <w:vAlign w:val="bottom"/>
            <w:tcBorders>
              <w:bottom w:val="single" w:sz="8" w:color="EEEEEE"/>
            </w:tcBorders>
          </w:tcPr>
          <w:p>
            <w:pPr>
              <w:spacing w:after="0"/>
              <w:rPr>
                <w:sz w:val="19"/>
                <w:szCs w:val="19"/>
                <w:color w:val="auto"/>
              </w:rPr>
            </w:pPr>
          </w:p>
        </w:tc>
        <w:tc>
          <w:tcPr>
            <w:tcW w:w="9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b w:val="1"/>
                <w:bCs w:val="1"/>
                <w:color w:val="auto"/>
              </w:rPr>
              <w:t>2023</w:t>
            </w:r>
          </w:p>
        </w:tc>
        <w:tc>
          <w:tcPr>
            <w:tcW w:w="600" w:type="dxa"/>
            <w:vAlign w:val="bottom"/>
            <w:tcBorders>
              <w:top w:val="single" w:sz="8" w:color="auto"/>
              <w:bottom w:val="single" w:sz="8" w:color="auto"/>
            </w:tcBorders>
          </w:tcPr>
          <w:p>
            <w:pPr>
              <w:spacing w:after="0"/>
              <w:rPr>
                <w:sz w:val="19"/>
                <w:szCs w:val="19"/>
                <w:color w:val="auto"/>
              </w:rPr>
            </w:pPr>
          </w:p>
        </w:tc>
        <w:tc>
          <w:tcPr>
            <w:tcW w:w="320" w:type="dxa"/>
            <w:vAlign w:val="bottom"/>
            <w:tcBorders>
              <w:top w:val="single" w:sz="8" w:color="auto"/>
              <w:bottom w:val="single" w:sz="8" w:color="EEEEEE"/>
            </w:tcBorders>
          </w:tcPr>
          <w:p>
            <w:pPr>
              <w:spacing w:after="0"/>
              <w:rPr>
                <w:sz w:val="19"/>
                <w:szCs w:val="19"/>
                <w:color w:val="auto"/>
              </w:rPr>
            </w:pPr>
          </w:p>
        </w:tc>
        <w:tc>
          <w:tcPr>
            <w:tcW w:w="360" w:type="dxa"/>
            <w:vAlign w:val="bottom"/>
            <w:tcBorders>
              <w:top w:val="single" w:sz="8" w:color="auto"/>
              <w:bottom w:val="single" w:sz="8" w:color="auto"/>
            </w:tcBorders>
          </w:tcPr>
          <w:p>
            <w:pPr>
              <w:spacing w:after="0"/>
              <w:rPr>
                <w:sz w:val="19"/>
                <w:szCs w:val="19"/>
                <w:color w:val="auto"/>
              </w:rPr>
            </w:pPr>
          </w:p>
        </w:tc>
        <w:tc>
          <w:tcPr>
            <w:tcW w:w="1220" w:type="dxa"/>
            <w:vAlign w:val="bottom"/>
            <w:tcBorders>
              <w:top w:val="single" w:sz="8" w:color="auto"/>
              <w:bottom w:val="single" w:sz="8" w:color="auto"/>
            </w:tcBorders>
          </w:tcPr>
          <w:p>
            <w:pPr>
              <w:jc w:val="right"/>
              <w:ind w:right="530"/>
              <w:spacing w:after="0"/>
              <w:rPr>
                <w:sz w:val="20"/>
                <w:szCs w:val="20"/>
                <w:color w:val="auto"/>
              </w:rPr>
            </w:pPr>
            <w:r>
              <w:rPr>
                <w:rFonts w:ascii="Times New Roman" w:cs="Times New Roman" w:eastAsia="Times New Roman" w:hAnsi="Times New Roman"/>
                <w:sz w:val="18"/>
                <w:szCs w:val="18"/>
                <w:b w:val="1"/>
                <w:bCs w:val="1"/>
                <w:color w:val="auto"/>
              </w:rPr>
              <w:t>2022</w:t>
            </w:r>
          </w:p>
        </w:tc>
        <w:tc>
          <w:tcPr>
            <w:tcW w:w="100" w:type="dxa"/>
            <w:vAlign w:val="bottom"/>
            <w:tcBorders>
              <w:bottom w:val="single" w:sz="8" w:color="EEEEEE"/>
            </w:tcBorders>
          </w:tcPr>
          <w:p>
            <w:pPr>
              <w:spacing w:after="0"/>
              <w:rPr>
                <w:sz w:val="19"/>
                <w:szCs w:val="19"/>
                <w:color w:val="auto"/>
              </w:rPr>
            </w:pPr>
          </w:p>
        </w:tc>
      </w:tr>
      <w:tr>
        <w:trPr>
          <w:trHeight w:val="210"/>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Audit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w w:val="88"/>
              </w:rPr>
              <w:t>$</w:t>
            </w:r>
          </w:p>
        </w:tc>
        <w:tc>
          <w:tcPr>
            <w:tcW w:w="60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99"/>
              </w:rPr>
              <w:t>126,500</w:t>
            </w:r>
          </w:p>
        </w:tc>
        <w:tc>
          <w:tcPr>
            <w:tcW w:w="320" w:type="dxa"/>
            <w:vAlign w:val="bottom"/>
            <w:shd w:val="clear" w:color="auto" w:fill="EEEEEE"/>
          </w:tcPr>
          <w:p>
            <w:pPr>
              <w:spacing w:after="0"/>
              <w:rPr>
                <w:sz w:val="18"/>
                <w:szCs w:val="18"/>
                <w:color w:val="auto"/>
              </w:rPr>
            </w:pPr>
          </w:p>
        </w:tc>
        <w:tc>
          <w:tcPr>
            <w:tcW w:w="360" w:type="dxa"/>
            <w:vAlign w:val="bottom"/>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color w:val="auto"/>
                <w:w w:val="88"/>
              </w:rPr>
              <w:t>$</w:t>
            </w:r>
          </w:p>
        </w:tc>
        <w:tc>
          <w:tcPr>
            <w:tcW w:w="122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139,000</w:t>
            </w:r>
          </w:p>
        </w:tc>
        <w:tc>
          <w:tcPr>
            <w:tcW w:w="100" w:type="dxa"/>
            <w:vAlign w:val="bottom"/>
            <w:shd w:val="clear" w:color="auto" w:fill="EEEEEE"/>
          </w:tcPr>
          <w:p>
            <w:pPr>
              <w:spacing w:after="0"/>
              <w:rPr>
                <w:sz w:val="18"/>
                <w:szCs w:val="18"/>
                <w:color w:val="auto"/>
              </w:rPr>
            </w:pPr>
          </w:p>
        </w:tc>
      </w:tr>
      <w:tr>
        <w:trPr>
          <w:trHeight w:val="216"/>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Audit-Related Fees (1)</w:t>
            </w:r>
          </w:p>
        </w:tc>
        <w:tc>
          <w:tcPr>
            <w:tcW w:w="3000" w:type="dxa"/>
            <w:vAlign w:val="bottom"/>
          </w:tcPr>
          <w:p>
            <w:pPr>
              <w:spacing w:after="0"/>
              <w:rPr>
                <w:sz w:val="18"/>
                <w:szCs w:val="18"/>
                <w:color w:val="auto"/>
              </w:rPr>
            </w:pPr>
          </w:p>
        </w:tc>
        <w:tc>
          <w:tcPr>
            <w:tcW w:w="980" w:type="dxa"/>
            <w:vAlign w:val="bottom"/>
          </w:tcPr>
          <w:p>
            <w:pPr>
              <w:spacing w:after="0"/>
              <w:rPr>
                <w:sz w:val="18"/>
                <w:szCs w:val="18"/>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8"/>
                <w:szCs w:val="18"/>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4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Fees</w:t>
            </w:r>
          </w:p>
        </w:tc>
        <w:tc>
          <w:tcPr>
            <w:tcW w:w="3000" w:type="dxa"/>
            <w:vAlign w:val="bottom"/>
            <w:shd w:val="clear" w:color="auto" w:fill="EEEEEE"/>
          </w:tcPr>
          <w:p>
            <w:pPr>
              <w:spacing w:after="0"/>
              <w:rPr>
                <w:sz w:val="18"/>
                <w:szCs w:val="18"/>
                <w:color w:val="auto"/>
              </w:rPr>
            </w:pPr>
          </w:p>
        </w:tc>
        <w:tc>
          <w:tcPr>
            <w:tcW w:w="980" w:type="dxa"/>
            <w:vAlign w:val="bottom"/>
            <w:shd w:val="clear" w:color="auto" w:fill="EEEEEE"/>
          </w:tcPr>
          <w:p>
            <w:pPr>
              <w:spacing w:after="0"/>
              <w:rPr>
                <w:sz w:val="18"/>
                <w:szCs w:val="18"/>
                <w:color w:val="auto"/>
              </w:rPr>
            </w:pPr>
          </w:p>
        </w:tc>
        <w:tc>
          <w:tcPr>
            <w:tcW w:w="92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shd w:val="clear" w:color="auto" w:fill="EEEEEE"/>
          </w:tcPr>
          <w:p>
            <w:pPr>
              <w:spacing w:after="0"/>
              <w:rPr>
                <w:sz w:val="18"/>
                <w:szCs w:val="18"/>
                <w:color w:val="auto"/>
              </w:rPr>
            </w:pPr>
          </w:p>
        </w:tc>
        <w:tc>
          <w:tcPr>
            <w:tcW w:w="132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9"/>
        </w:trPr>
        <w:tc>
          <w:tcPr>
            <w:tcW w:w="4660" w:type="dxa"/>
            <w:vAlign w:val="bottom"/>
          </w:tcPr>
          <w:p>
            <w:pPr>
              <w:spacing w:after="0"/>
              <w:rPr>
                <w:sz w:val="20"/>
                <w:szCs w:val="20"/>
                <w:color w:val="auto"/>
              </w:rPr>
            </w:pPr>
            <w:r>
              <w:rPr>
                <w:rFonts w:ascii="Times New Roman" w:cs="Times New Roman" w:eastAsia="Times New Roman" w:hAnsi="Times New Roman"/>
                <w:sz w:val="18"/>
                <w:szCs w:val="18"/>
                <w:color w:val="auto"/>
              </w:rPr>
              <w:t>All Other Fees</w:t>
            </w:r>
          </w:p>
        </w:tc>
        <w:tc>
          <w:tcPr>
            <w:tcW w:w="3000" w:type="dxa"/>
            <w:vAlign w:val="bottom"/>
          </w:tcPr>
          <w:p>
            <w:pPr>
              <w:spacing w:after="0"/>
              <w:rPr>
                <w:sz w:val="19"/>
                <w:szCs w:val="19"/>
                <w:color w:val="auto"/>
              </w:rPr>
            </w:pPr>
          </w:p>
        </w:tc>
        <w:tc>
          <w:tcPr>
            <w:tcW w:w="980" w:type="dxa"/>
            <w:vAlign w:val="bottom"/>
          </w:tcPr>
          <w:p>
            <w:pPr>
              <w:spacing w:after="0"/>
              <w:rPr>
                <w:sz w:val="19"/>
                <w:szCs w:val="19"/>
                <w:color w:val="auto"/>
              </w:rPr>
            </w:pPr>
          </w:p>
        </w:tc>
        <w:tc>
          <w:tcPr>
            <w:tcW w:w="92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360" w:type="dxa"/>
            <w:vAlign w:val="bottom"/>
          </w:tcPr>
          <w:p>
            <w:pPr>
              <w:spacing w:after="0"/>
              <w:rPr>
                <w:sz w:val="19"/>
                <w:szCs w:val="19"/>
                <w:color w:val="auto"/>
              </w:rPr>
            </w:pPr>
          </w:p>
        </w:tc>
        <w:tc>
          <w:tcPr>
            <w:tcW w:w="132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4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3000" w:type="dxa"/>
            <w:vAlign w:val="bottom"/>
            <w:tcBorders>
              <w:top w:val="single" w:sz="8" w:color="EEEEEE"/>
              <w:bottom w:val="single" w:sz="8" w:color="EEEEEE"/>
            </w:tcBorders>
            <w:shd w:val="clear" w:color="auto" w:fill="EEEEEE"/>
          </w:tcPr>
          <w:p>
            <w:pPr>
              <w:spacing w:after="0"/>
              <w:rPr>
                <w:sz w:val="19"/>
                <w:szCs w:val="19"/>
                <w:color w:val="auto"/>
              </w:rPr>
            </w:pPr>
          </w:p>
        </w:tc>
        <w:tc>
          <w:tcPr>
            <w:tcW w:w="980" w:type="dxa"/>
            <w:vAlign w:val="bottom"/>
            <w:tcBorders>
              <w:top w:val="single" w:sz="8" w:color="auto"/>
              <w:bottom w:val="single" w:sz="8" w:color="auto"/>
            </w:tcBorders>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60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w w:val="99"/>
              </w:rPr>
              <w:t>126,500</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360" w:type="dxa"/>
            <w:vAlign w:val="bottom"/>
            <w:tcBorders>
              <w:top w:val="single" w:sz="8" w:color="auto"/>
              <w:bottom w:val="single" w:sz="8" w:color="auto"/>
            </w:tcBorders>
            <w:shd w:val="clear" w:color="auto" w:fill="EEEEEE"/>
          </w:tcPr>
          <w:p>
            <w:pPr>
              <w:jc w:val="right"/>
              <w:ind w:right="170"/>
              <w:spacing w:after="0"/>
              <w:rPr>
                <w:sz w:val="20"/>
                <w:szCs w:val="20"/>
                <w:color w:val="auto"/>
              </w:rPr>
            </w:pPr>
            <w:r>
              <w:rPr>
                <w:rFonts w:ascii="Times New Roman" w:cs="Times New Roman" w:eastAsia="Times New Roman" w:hAnsi="Times New Roman"/>
                <w:sz w:val="18"/>
                <w:szCs w:val="18"/>
                <w:b w:val="1"/>
                <w:bCs w:val="1"/>
                <w:color w:val="auto"/>
                <w:w w:val="88"/>
              </w:rPr>
              <w:t>$</w:t>
            </w:r>
          </w:p>
        </w:tc>
        <w:tc>
          <w:tcPr>
            <w:tcW w:w="122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b w:val="1"/>
                <w:bCs w:val="1"/>
                <w:color w:val="auto"/>
              </w:rPr>
              <w:t>139,000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4660" w:type="dxa"/>
            <w:vAlign w:val="bottom"/>
          </w:tcPr>
          <w:p>
            <w:pPr>
              <w:spacing w:after="0" w:line="20" w:lineRule="exact"/>
              <w:rPr>
                <w:sz w:val="1"/>
                <w:szCs w:val="1"/>
                <w:color w:val="auto"/>
              </w:rPr>
            </w:pPr>
          </w:p>
        </w:tc>
        <w:tc>
          <w:tcPr>
            <w:tcW w:w="3000" w:type="dxa"/>
            <w:vAlign w:val="bottom"/>
          </w:tcPr>
          <w:p>
            <w:pPr>
              <w:spacing w:after="0" w:line="20" w:lineRule="exact"/>
              <w:rPr>
                <w:sz w:val="1"/>
                <w:szCs w:val="1"/>
                <w:color w:val="auto"/>
              </w:rPr>
            </w:pPr>
          </w:p>
        </w:tc>
        <w:tc>
          <w:tcPr>
            <w:tcW w:w="980" w:type="dxa"/>
            <w:vAlign w:val="bottom"/>
            <w:tcBorders>
              <w:bottom w:val="single" w:sz="8" w:color="auto"/>
            </w:tcBorders>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ind w:left="280" w:hanging="272"/>
        <w:spacing w:after="0"/>
        <w:tabs>
          <w:tab w:leader="none" w:pos="28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Fees incurred in conjunction with consents for various registration statements filed during the 2023 and 2022 fiscal years.</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81" w:lineRule="exact"/>
        <w:rPr>
          <w:rFonts w:ascii="Times New Roman" w:cs="Times New Roman" w:eastAsia="Times New Roman" w:hAnsi="Times New Roman"/>
          <w:sz w:val="18"/>
          <w:szCs w:val="18"/>
          <w:color w:val="auto"/>
        </w:rPr>
      </w:pPr>
    </w:p>
    <w:p>
      <w:pPr>
        <w:ind w:left="554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Required Vote</w:t>
      </w:r>
    </w:p>
    <w:p>
      <w:pPr>
        <w:spacing w:after="0" w:line="229" w:lineRule="exact"/>
        <w:rPr>
          <w:sz w:val="20"/>
          <w:szCs w:val="20"/>
          <w:color w:val="auto"/>
        </w:rPr>
      </w:pPr>
    </w:p>
    <w:p>
      <w:pPr>
        <w:jc w:val="both"/>
        <w:ind w:firstLine="640"/>
        <w:spacing w:after="0" w:line="266" w:lineRule="auto"/>
        <w:rPr>
          <w:sz w:val="20"/>
          <w:szCs w:val="20"/>
          <w:color w:val="auto"/>
        </w:rPr>
      </w:pPr>
      <w:r>
        <w:rPr>
          <w:rFonts w:ascii="Times New Roman" w:cs="Times New Roman" w:eastAsia="Times New Roman" w:hAnsi="Times New Roman"/>
          <w:sz w:val="18"/>
          <w:szCs w:val="18"/>
          <w:color w:val="auto"/>
        </w:rPr>
        <w:t>Ratification of the appointment of Enmore LLP as the independent auditor of the Company for the fiscal year ending December 31, 2024 requires the affirmative vote of the majority of shares present in person or represented by proxy at the Annual Meeting and entitled to vote pursuant to Section 422 of the Code and the rules of Nasdaq. Broker non-votes will not be counted in evaluating the results of the vote.</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RECOMMENDATION OF THE BOARD OF DIRECTORS</w:t>
      </w:r>
    </w:p>
    <w:p>
      <w:pPr>
        <w:spacing w:after="0" w:line="22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color w:val="auto"/>
        </w:rPr>
        <w:t>THE BOARD OF DIRECTORS UNANIMOUSLY RECOMMENDS THAT SHAREHOLDERS VOTE “FOR” RATIFICATION OF THE APPOINTMENT OF ENMORE LLP AS THE INDEPENDENT AUDITOR OF THE COMPANY FOR THE FISCAL YEAR ENDING DECEMBER 31, 2024 UNDER PROPOSAL No.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7" w:name="page28"/>
    <w:bookmarkEnd w:id="27"/>
    <w:p>
      <w:pPr>
        <w:jc w:val="center"/>
        <w:spacing w:after="0"/>
        <w:rPr>
          <w:sz w:val="20"/>
          <w:szCs w:val="20"/>
          <w:color w:val="auto"/>
        </w:rPr>
      </w:pPr>
      <w:r>
        <w:rPr>
          <w:rFonts w:ascii="Times New Roman" w:cs="Times New Roman" w:eastAsia="Times New Roman" w:hAnsi="Times New Roman"/>
          <w:sz w:val="18"/>
          <w:szCs w:val="18"/>
          <w:b w:val="1"/>
          <w:bCs w:val="1"/>
          <w:color w:val="auto"/>
        </w:rPr>
        <w:t>OTHER VOTING MATTERS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do not presently know of any matters to be acted upon at the Annual Meeting other than the matters referred to in this Proxy Statement. If any other matter is properly presented, proxy holders will vote on the matter at their discretion.</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CERTAIN RELATIONSHIPS, RELATED TRANSACTIONS AND DIRECTOR INDEPENDENCE</w:t>
      </w:r>
    </w:p>
    <w:p>
      <w:pPr>
        <w:spacing w:after="0" w:line="229"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We are required to describe any transaction, since the beginning of our 2021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spacing w:after="0" w:line="176" w:lineRule="exact"/>
        <w:rPr>
          <w:sz w:val="20"/>
          <w:szCs w:val="20"/>
          <w:color w:val="auto"/>
        </w:rPr>
      </w:pPr>
    </w:p>
    <w:p>
      <w:pPr>
        <w:ind w:left="1140" w:hanging="336"/>
        <w:spacing w:after="0"/>
        <w:tabs>
          <w:tab w:leader="none" w:pos="114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director or executive officer of the Company;</w:t>
      </w:r>
    </w:p>
    <w:p>
      <w:pPr>
        <w:spacing w:after="0" w:line="225" w:lineRule="exact"/>
        <w:rPr>
          <w:rFonts w:ascii="Times New Roman" w:cs="Times New Roman" w:eastAsia="Times New Roman" w:hAnsi="Times New Roman"/>
          <w:sz w:val="18"/>
          <w:szCs w:val="18"/>
          <w:color w:val="auto"/>
        </w:rPr>
      </w:pPr>
    </w:p>
    <w:p>
      <w:pPr>
        <w:jc w:val="both"/>
        <w:ind w:left="1140" w:hanging="336"/>
        <w:spacing w:after="0" w:line="261" w:lineRule="auto"/>
        <w:tabs>
          <w:tab w:leader="none" w:pos="114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w:t>
      </w:r>
    </w:p>
    <w:p>
      <w:pPr>
        <w:spacing w:after="0" w:line="179" w:lineRule="exact"/>
        <w:rPr>
          <w:rFonts w:ascii="Times New Roman" w:cs="Times New Roman" w:eastAsia="Times New Roman" w:hAnsi="Times New Roman"/>
          <w:sz w:val="18"/>
          <w:szCs w:val="18"/>
          <w:color w:val="auto"/>
        </w:rPr>
      </w:pPr>
    </w:p>
    <w:p>
      <w:pPr>
        <w:ind w:left="660" w:right="200" w:firstLine="144"/>
        <w:spacing w:after="0" w:line="498" w:lineRule="auto"/>
        <w:tabs>
          <w:tab w:leader="none" w:pos="114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beneficial owner of more than 5% of our common stock at the time of the transaction or immediate family member of such shareholder. We did not have any related party transactions since the beginning of our 2021 fiscal year.</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Director Independence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An “independent director” is defined generally as a person other than an officer or employee of the Company or its subsidiaries or any other individual having a relationship which in the opinion of the Company’s Board, would interfere with the director’s exercise of independent judgment in carrying out the responsibilities of a director. Gerald H. Lindberg, Sean Filson, Hui-Ying Zhuang, Yiwen Zhang and Song-Yuan Teng serve as members of our Board. Our Board has determined that Gerald H. Lindberg, Sean Filson, Hui-Ying Zhuang, Yiwen Zhang and Song-Yuan Teng are “independent directors” as defined in the Nasdaq listing rules and under Rule 10-A-3(b)(1) of the Exchange Act and applicable SEC rules.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SHAREHOLDER PROPOSALS AND NOMINATION PROCEDURES</w:t>
      </w:r>
    </w:p>
    <w:p>
      <w:pPr>
        <w:spacing w:after="0" w:line="229"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For nominations or other business to be properly brought before an annual meeting by a shareholder and for nominations to be properly brought before a special meeting by a shareholder, the shareholder of record must have given timely notice thereof in writing to the Secretary of the Company, and, in the case of business other than nominations, such other business must be a proper matter for shareholder action. To be timely, a shareholder’s notice shall be delivered to the secretary at the principal executive offices of the Company not less than the 120th calendar day prior to the date of the release of this Proxy Statement to shareholders in connection with the Annual Meeting, or August 18, 2025 ; provided that in the event that the date of the 2025 annual meeting is more than 30 days from the Annual Meeting anniversary date, notice by the shareholder to be timely must be so delivered within a reasonable time before the Company begins to print and send its proxy materials. In no event shall the public announcement of an adjournment or postponement of an annual meeting commence a new time period (or extend any time period) for the giving of a shareholder’s notice as described above. The notice must be provided by a shareholder of record and must set forth specific criteria as defined in the Articles of Incorporation. Such proposals must also meet the other requirements and procedures prescribed by Rule 14a-8 under the Exchange Act relating to shareholders’ proposals. Pursuant to the universal proxy rules, which were effective as of September 1, 2022, shareholders who intend to solicit proxies in support of director nominees other than the Company’s nominees for the 2025 annual meeting must provide notice that sets forth the information required by Rule 14a-19 under the Exchange Act no later than 60 days prior to the one year anniversary of the Annual Meeting, or October 17, 2025 , or if the date of the meeting has changed by more than 30 days from the Annual Meeting anniversary date, then notice must be provided by the later of 60 days prior to the date of the 2025 annual meeting or the 10th day following the day on which the Company makes its public announcement of the date of the 2025 annual meeting.</w:t>
      </w:r>
    </w:p>
    <w:p>
      <w:pPr>
        <w:spacing w:after="0" w:line="19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DELIVERY OF DOCUMENTS TO SHAREHOLDERS SHARING AN ADDRESS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To the extent we deliver a paper copy of the proxy materials to shareholders, the SEC rules allow us to deliver a single copy of proxy materials to any household at which two or more shareholders reside, if we believe the shareholders are members of the same family.</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promptly deliver, upon oral or written request, a separate copy of the proxy materials to any shareholder residing at the same address as another shareholder and currently receiving only one copy of the proxy materials who wishes to receive his, her, or its own copy. Requests should be directed to the attention of our Secretary by mail to Nocera, Inc., 3F (Building B), No. 185, Sec. 1, Datong Rd., Xizhi Dist., New Taipei City Taiwan 221.</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ANNUAL REPORT ON FORM 10-K</w:t>
      </w:r>
    </w:p>
    <w:p>
      <w:pPr>
        <w:spacing w:after="0" w:line="229" w:lineRule="exact"/>
        <w:rPr>
          <w:sz w:val="20"/>
          <w:szCs w:val="20"/>
          <w:color w:val="auto"/>
        </w:rPr>
      </w:pPr>
    </w:p>
    <w:p>
      <w:pPr>
        <w:jc w:val="both"/>
        <w:ind w:firstLine="648"/>
        <w:spacing w:after="0" w:line="256" w:lineRule="auto"/>
        <w:rPr>
          <w:rFonts w:ascii="Times New Roman" w:cs="Times New Roman" w:eastAsia="Times New Roman" w:hAnsi="Times New Roman"/>
          <w:sz w:val="18"/>
          <w:szCs w:val="18"/>
          <w:color w:val="0000EE"/>
        </w:rPr>
      </w:pPr>
      <w:hyperlink r:id="rId50">
        <w:r>
          <w:rPr>
            <w:rFonts w:ascii="Times New Roman" w:cs="Times New Roman" w:eastAsia="Times New Roman" w:hAnsi="Times New Roman"/>
            <w:sz w:val="18"/>
            <w:szCs w:val="18"/>
            <w:color w:val="auto"/>
          </w:rPr>
          <w:t xml:space="preserve">A copy of our Annual Report on Form 10-K for the fiscal year ended December 13, 2023, which was originally filed with the SEC on </w:t>
        </w:r>
        <w:r>
          <w:rPr>
            <w:rFonts w:ascii="Times New Roman" w:cs="Times New Roman" w:eastAsia="Times New Roman" w:hAnsi="Times New Roman"/>
            <w:sz w:val="18"/>
            <w:szCs w:val="18"/>
            <w:u w:val="single" w:color="auto"/>
            <w:color w:val="0000EE"/>
          </w:rPr>
          <w:t>April 1,</w:t>
        </w:r>
      </w:hyperlink>
      <w:r>
        <w:rPr>
          <w:rFonts w:ascii="Times New Roman" w:cs="Times New Roman" w:eastAsia="Times New Roman" w:hAnsi="Times New Roman"/>
          <w:sz w:val="18"/>
          <w:szCs w:val="18"/>
          <w:color w:val="auto"/>
        </w:rPr>
        <w:t xml:space="preserve"> </w:t>
      </w:r>
      <w:hyperlink r:id="rId50">
        <w:r>
          <w:rPr>
            <w:rFonts w:ascii="Times New Roman" w:cs="Times New Roman" w:eastAsia="Times New Roman" w:hAnsi="Times New Roman"/>
            <w:sz w:val="18"/>
            <w:szCs w:val="18"/>
            <w:u w:val="single" w:color="auto"/>
            <w:color w:val="0000EE"/>
          </w:rPr>
          <w:t>2024</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and subsequently amended on October 7, 2024, is available to shareholders without charge upon written request directed to our Secretary by mail to</w:t>
        </w:r>
      </w:hyperlink>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 xml:space="preserve">Nocera, Inc., 3F (Building B), No. 185, Sec. 1, Datong Rd., Xizhi Dist., New Taipei City Taiwan 221 or by phone at (886)-910-163-358. The Company makes available free of charge on or through its website, </w:t>
      </w:r>
      <w:r>
        <w:rPr>
          <w:rFonts w:ascii="Times New Roman" w:cs="Times New Roman" w:eastAsia="Times New Roman" w:hAnsi="Times New Roman"/>
          <w:sz w:val="18"/>
          <w:szCs w:val="18"/>
          <w:i w:val="1"/>
          <w:iCs w:val="1"/>
          <w:color w:val="000000"/>
        </w:rPr>
        <w:t>www.nocera.company</w:t>
      </w:r>
      <w:r>
        <w:rPr>
          <w:rFonts w:ascii="Times New Roman" w:cs="Times New Roman" w:eastAsia="Times New Roman" w:hAnsi="Times New Roman"/>
          <w:sz w:val="18"/>
          <w:szCs w:val="18"/>
          <w:color w:val="000000"/>
        </w:rPr>
        <w:t>, its Annual Reports on Form 10-K, Quarterly Reports on Form 10-Q, Current Reports on Form 8-K and all amendments to such reports filed pursuant to Section 13(a) or 15(d) of the Exchange Act as soon as reasonably practicable after filing.</w:t>
      </w:r>
    </w:p>
    <w:p>
      <w:pPr>
        <w:spacing w:after="0" w:line="18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OTHER MATTERS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Board does not know of any matter to be brought before the Annual Meeting other than the matters set forth in the Notice of Annual Meeting of Shareholders and matters incident to the conduct of the Annual Meeting. If any other matter should properly come before the Annual Meeting, the persons named in the enclosed proxy card will have discretionary authority to vote all proxies with respect thereto in accordance with their best judgment.</w:t>
      </w:r>
    </w:p>
    <w:p>
      <w:pPr>
        <w:spacing w:after="0" w:line="17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VIRTUAL ACCESS TO THE ANNUAL MEETING</w:t>
      </w:r>
    </w:p>
    <w:p>
      <w:pPr>
        <w:spacing w:after="0" w:line="227"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color w:val="auto"/>
        </w:rPr>
        <w:t xml:space="preserve">The Annual Meeting of Shareholders will be held virtually via the internet at </w:t>
      </w:r>
      <w:r>
        <w:rPr>
          <w:rFonts w:ascii="Times New Roman" w:cs="Times New Roman" w:eastAsia="Times New Roman" w:hAnsi="Times New Roman"/>
          <w:sz w:val="18"/>
          <w:szCs w:val="18"/>
          <w:i w:val="1"/>
          <w:iCs w:val="1"/>
          <w:color w:val="auto"/>
        </w:rPr>
        <w:t>www.mountainsharetransfer.com/ncra</w:t>
      </w:r>
      <w:r>
        <w:rPr>
          <w:rFonts w:ascii="Times New Roman" w:cs="Times New Roman" w:eastAsia="Times New Roman" w:hAnsi="Times New Roman"/>
          <w:sz w:val="18"/>
          <w:szCs w:val="18"/>
          <w:color w:val="auto"/>
        </w:rPr>
        <w:t xml:space="preserve"> on December 16, 2024, at 12:00 p.m., Eastern Time.</w:t>
      </w: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tbl>
      <w:tblPr>
        <w:tblLayout w:type="fixed"/>
        <w:tblInd w:w="0" w:type="dxa"/>
        <w:tblCellMar>
          <w:top w:w="0" w:type="dxa"/>
          <w:left w:w="0" w:type="dxa"/>
          <w:bottom w:w="0" w:type="dxa"/>
          <w:right w:w="0" w:type="dxa"/>
        </w:tblCellMar>
      </w:tblPr>
      <w:tr>
        <w:trPr>
          <w:trHeight w:val="286"/>
        </w:trPr>
        <w:tc>
          <w:tcPr>
            <w:tcW w:w="2640" w:type="dxa"/>
            <w:vAlign w:val="bottom"/>
          </w:tcPr>
          <w:p>
            <w:pPr>
              <w:spacing w:after="0"/>
              <w:rPr>
                <w:sz w:val="24"/>
                <w:szCs w:val="24"/>
                <w:color w:val="auto"/>
              </w:rPr>
            </w:pPr>
          </w:p>
        </w:tc>
        <w:tc>
          <w:tcPr>
            <w:tcW w:w="5400" w:type="dxa"/>
            <w:vAlign w:val="bottom"/>
          </w:tcPr>
          <w:p>
            <w:pPr>
              <w:ind w:left="580"/>
              <w:spacing w:after="0"/>
              <w:rPr>
                <w:sz w:val="20"/>
                <w:szCs w:val="20"/>
                <w:color w:val="auto"/>
              </w:rPr>
            </w:pPr>
            <w:r>
              <w:rPr>
                <w:rFonts w:ascii="Times New Roman" w:cs="Times New Roman" w:eastAsia="Times New Roman" w:hAnsi="Times New Roman"/>
                <w:sz w:val="22"/>
                <w:szCs w:val="22"/>
                <w:b w:val="1"/>
                <w:bCs w:val="1"/>
                <w:color w:val="auto"/>
                <w:w w:val="97"/>
              </w:rPr>
              <w:t>Nocera, Inc. Notice of Annual Shareholders Meeting</w:t>
            </w:r>
          </w:p>
        </w:tc>
      </w:tr>
      <w:tr>
        <w:trPr>
          <w:trHeight w:val="420"/>
        </w:trPr>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Shareholder ID:</w:t>
            </w:r>
          </w:p>
        </w:tc>
        <w:tc>
          <w:tcPr>
            <w:tcW w:w="5400" w:type="dxa"/>
            <w:vAlign w:val="bottom"/>
          </w:tcPr>
          <w:p>
            <w:pPr>
              <w:ind w:left="2980"/>
              <w:spacing w:after="0"/>
              <w:rPr>
                <w:sz w:val="20"/>
                <w:szCs w:val="20"/>
                <w:color w:val="auto"/>
              </w:rPr>
            </w:pPr>
            <w:r>
              <w:rPr>
                <w:rFonts w:ascii="Times New Roman" w:cs="Times New Roman" w:eastAsia="Times New Roman" w:hAnsi="Times New Roman"/>
                <w:sz w:val="18"/>
                <w:szCs w:val="18"/>
                <w:b w:val="1"/>
                <w:bCs w:val="1"/>
                <w:color w:val="auto"/>
              </w:rPr>
              <w:t>Control ID:</w:t>
            </w:r>
          </w:p>
        </w:tc>
      </w:tr>
      <w:tr>
        <w:trPr>
          <w:trHeight w:val="595"/>
        </w:trPr>
        <w:tc>
          <w:tcPr>
            <w:tcW w:w="26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 xml:space="preserve">Date: </w:t>
            </w:r>
            <w:r>
              <w:rPr>
                <w:rFonts w:ascii="Times New Roman" w:cs="Times New Roman" w:eastAsia="Times New Roman" w:hAnsi="Times New Roman"/>
                <w:sz w:val="18"/>
                <w:szCs w:val="18"/>
                <w:color w:val="auto"/>
              </w:rPr>
              <w:t>December 16</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w:t>
            </w:r>
          </w:p>
        </w:tc>
        <w:tc>
          <w:tcPr>
            <w:tcW w:w="5400" w:type="dxa"/>
            <w:vAlign w:val="bottom"/>
          </w:tcPr>
          <w:p>
            <w:pPr>
              <w:ind w:left="2980"/>
              <w:spacing w:after="0"/>
              <w:rPr>
                <w:sz w:val="20"/>
                <w:szCs w:val="20"/>
                <w:color w:val="auto"/>
              </w:rPr>
            </w:pPr>
            <w:r>
              <w:rPr>
                <w:rFonts w:ascii="Times New Roman" w:cs="Times New Roman" w:eastAsia="Times New Roman" w:hAnsi="Times New Roman"/>
                <w:sz w:val="18"/>
                <w:szCs w:val="18"/>
                <w:b w:val="1"/>
                <w:bCs w:val="1"/>
                <w:color w:val="auto"/>
              </w:rPr>
              <w:t xml:space="preserve">Time: </w:t>
            </w:r>
            <w:r>
              <w:rPr>
                <w:rFonts w:ascii="Times New Roman" w:cs="Times New Roman" w:eastAsia="Times New Roman" w:hAnsi="Times New Roman"/>
                <w:sz w:val="18"/>
                <w:szCs w:val="18"/>
                <w:color w:val="auto"/>
              </w:rPr>
              <w:t>12:00 p.m. Eastern Time</w:t>
            </w:r>
          </w:p>
        </w:tc>
      </w:tr>
    </w:tbl>
    <w:p>
      <w:pPr>
        <w:spacing w:after="0" w:line="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Location: </w:t>
      </w:r>
      <w:r>
        <w:rPr>
          <w:rFonts w:ascii="Times New Roman" w:cs="Times New Roman" w:eastAsia="Times New Roman" w:hAnsi="Times New Roman"/>
          <w:sz w:val="18"/>
          <w:szCs w:val="18"/>
          <w:color w:val="auto"/>
        </w:rPr>
        <w:t>Virtually online via. Zoom Teleconference, the link is as follows: https://mountainsharetransfer.com/ncra</w:t>
      </w:r>
    </w:p>
    <w:p>
      <w:pPr>
        <w:spacing w:after="0" w:line="229" w:lineRule="exact"/>
        <w:rPr>
          <w:sz w:val="20"/>
          <w:szCs w:val="20"/>
          <w:color w:val="auto"/>
        </w:rPr>
      </w:pPr>
    </w:p>
    <w:p>
      <w:pPr>
        <w:ind w:right="120"/>
        <w:spacing w:after="0" w:line="266" w:lineRule="auto"/>
        <w:rPr>
          <w:sz w:val="20"/>
          <w:szCs w:val="20"/>
          <w:color w:val="auto"/>
        </w:rPr>
      </w:pPr>
      <w:r>
        <w:rPr>
          <w:rFonts w:ascii="Times New Roman" w:cs="Times New Roman" w:eastAsia="Times New Roman" w:hAnsi="Times New Roman"/>
          <w:sz w:val="18"/>
          <w:szCs w:val="18"/>
          <w:color w:val="auto"/>
        </w:rPr>
        <w:t xml:space="preserve">This communication represents a notice to access a more complete set of proxy materials available to you on the Internet. We encourage you to access and review all the important information contained in the proxy materials before voting. </w:t>
      </w:r>
      <w:r>
        <w:rPr>
          <w:rFonts w:ascii="Times New Roman" w:cs="Times New Roman" w:eastAsia="Times New Roman" w:hAnsi="Times New Roman"/>
          <w:sz w:val="18"/>
          <w:szCs w:val="18"/>
          <w:b w:val="1"/>
          <w:bCs w:val="1"/>
          <w:color w:val="auto"/>
        </w:rPr>
        <w:t>THE PROXY STATEMENT IS AVAILABLE AT: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WWW.MOUNTAINSHARETRANSFER.COM/NCRA</w:t>
      </w:r>
    </w:p>
    <w:p>
      <w:pPr>
        <w:spacing w:after="0" w:line="176"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If you want to receive a paper copy of the proxy materials, you must request one. There is no charge for requesting a copy. To facilitate timely delivery, please make the request as instructed below before November 25th,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to Request Paper Copies of the Proxy Materials:</w:t>
      </w:r>
    </w:p>
    <w:p>
      <w:pPr>
        <w:spacing w:after="0" w:line="31" w:lineRule="exact"/>
        <w:rPr>
          <w:sz w:val="20"/>
          <w:szCs w:val="20"/>
          <w:color w:val="auto"/>
        </w:rPr>
      </w:pPr>
    </w:p>
    <w:tbl>
      <w:tblPr>
        <w:tblLayout w:type="fixed"/>
        <w:tblInd w:w="10" w:type="dxa"/>
        <w:tblCellMar>
          <w:top w:w="0" w:type="dxa"/>
          <w:left w:w="0" w:type="dxa"/>
          <w:bottom w:w="0" w:type="dxa"/>
          <w:right w:w="0" w:type="dxa"/>
        </w:tblCellMar>
      </w:tblPr>
      <w:tr>
        <w:trPr>
          <w:trHeight w:val="238"/>
        </w:trPr>
        <w:tc>
          <w:tcPr>
            <w:tcW w:w="2280" w:type="dxa"/>
            <w:vAlign w:val="bottom"/>
            <w:tcBorders>
              <w:top w:val="single" w:sz="8" w:color="auto"/>
              <w:left w:val="single" w:sz="8" w:color="auto"/>
              <w:right w:val="single" w:sz="8" w:color="auto"/>
            </w:tcBorders>
          </w:tcPr>
          <w:p>
            <w:pPr>
              <w:ind w:left="780"/>
              <w:spacing w:after="0"/>
              <w:rPr>
                <w:sz w:val="20"/>
                <w:szCs w:val="20"/>
                <w:color w:val="auto"/>
              </w:rPr>
            </w:pPr>
            <w:r>
              <w:rPr>
                <w:rFonts w:ascii="Times New Roman" w:cs="Times New Roman" w:eastAsia="Times New Roman" w:hAnsi="Times New Roman"/>
                <w:sz w:val="18"/>
                <w:szCs w:val="18"/>
                <w:b w:val="1"/>
                <w:bCs w:val="1"/>
                <w:color w:val="auto"/>
              </w:rPr>
              <w:t>Facsimile</w:t>
            </w:r>
          </w:p>
        </w:tc>
        <w:tc>
          <w:tcPr>
            <w:tcW w:w="4820" w:type="dxa"/>
            <w:vAlign w:val="bottom"/>
            <w:tcBorders>
              <w:top w:val="single" w:sz="8" w:color="auto"/>
              <w:right w:val="single" w:sz="8" w:color="auto"/>
            </w:tcBorders>
          </w:tcPr>
          <w:p>
            <w:pPr>
              <w:ind w:left="2080"/>
              <w:spacing w:after="0"/>
              <w:rPr>
                <w:sz w:val="20"/>
                <w:szCs w:val="20"/>
                <w:color w:val="auto"/>
              </w:rPr>
            </w:pPr>
            <w:r>
              <w:rPr>
                <w:rFonts w:ascii="Times New Roman" w:cs="Times New Roman" w:eastAsia="Times New Roman" w:hAnsi="Times New Roman"/>
                <w:sz w:val="18"/>
                <w:szCs w:val="18"/>
                <w:b w:val="1"/>
                <w:bCs w:val="1"/>
                <w:color w:val="auto"/>
              </w:rPr>
              <w:t>Internet</w:t>
            </w:r>
          </w:p>
        </w:tc>
        <w:tc>
          <w:tcPr>
            <w:tcW w:w="4140" w:type="dxa"/>
            <w:vAlign w:val="bottom"/>
            <w:tcBorders>
              <w:top w:val="single" w:sz="8" w:color="auto"/>
              <w:right w:val="single" w:sz="8" w:color="auto"/>
            </w:tcBorders>
          </w:tcPr>
          <w:p>
            <w:pPr>
              <w:ind w:left="1840"/>
              <w:spacing w:after="0"/>
              <w:rPr>
                <w:sz w:val="20"/>
                <w:szCs w:val="20"/>
                <w:color w:val="auto"/>
              </w:rPr>
            </w:pPr>
            <w:r>
              <w:rPr>
                <w:rFonts w:ascii="Times New Roman" w:cs="Times New Roman" w:eastAsia="Times New Roman" w:hAnsi="Times New Roman"/>
                <w:sz w:val="18"/>
                <w:szCs w:val="18"/>
                <w:b w:val="1"/>
                <w:bCs w:val="1"/>
                <w:color w:val="auto"/>
              </w:rPr>
              <w:t>Email</w:t>
            </w:r>
          </w:p>
        </w:tc>
      </w:tr>
      <w:tr>
        <w:trPr>
          <w:trHeight w:val="25"/>
        </w:trPr>
        <w:tc>
          <w:tcPr>
            <w:tcW w:w="2280" w:type="dxa"/>
            <w:vAlign w:val="bottom"/>
            <w:tcBorders>
              <w:left w:val="single" w:sz="8" w:color="auto"/>
              <w:bottom w:val="single" w:sz="8" w:color="auto"/>
              <w:right w:val="single" w:sz="8" w:color="auto"/>
            </w:tcBorders>
          </w:tcPr>
          <w:p>
            <w:pPr>
              <w:spacing w:after="0"/>
              <w:rPr>
                <w:sz w:val="2"/>
                <w:szCs w:val="2"/>
                <w:color w:val="auto"/>
              </w:rPr>
            </w:pPr>
          </w:p>
        </w:tc>
        <w:tc>
          <w:tcPr>
            <w:tcW w:w="4820" w:type="dxa"/>
            <w:vAlign w:val="bottom"/>
            <w:tcBorders>
              <w:bottom w:val="single" w:sz="8" w:color="auto"/>
              <w:right w:val="single" w:sz="8" w:color="auto"/>
            </w:tcBorders>
          </w:tcPr>
          <w:p>
            <w:pPr>
              <w:spacing w:after="0"/>
              <w:rPr>
                <w:sz w:val="2"/>
                <w:szCs w:val="2"/>
                <w:color w:val="auto"/>
              </w:rPr>
            </w:pPr>
          </w:p>
        </w:tc>
        <w:tc>
          <w:tcPr>
            <w:tcW w:w="4140" w:type="dxa"/>
            <w:vAlign w:val="bottom"/>
            <w:tcBorders>
              <w:bottom w:val="single" w:sz="8" w:color="auto"/>
              <w:right w:val="single" w:sz="8" w:color="auto"/>
            </w:tcBorders>
          </w:tcPr>
          <w:p>
            <w:pPr>
              <w:spacing w:after="0"/>
              <w:rPr>
                <w:sz w:val="2"/>
                <w:szCs w:val="2"/>
                <w:color w:val="auto"/>
              </w:rPr>
            </w:pPr>
          </w:p>
        </w:tc>
      </w:tr>
      <w:tr>
        <w:trPr>
          <w:trHeight w:val="218"/>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Fax this letter to</w:t>
            </w:r>
          </w:p>
        </w:tc>
        <w:tc>
          <w:tcPr>
            <w:tcW w:w="48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www.mountainsharetransfer.com/ncra</w:t>
            </w:r>
          </w:p>
        </w:tc>
        <w:tc>
          <w:tcPr>
            <w:tcW w:w="4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vote@mountainsharetransfer.com</w:t>
            </w:r>
          </w:p>
        </w:tc>
      </w:tr>
      <w:tr>
        <w:trPr>
          <w:trHeight w:val="234"/>
        </w:trPr>
        <w:tc>
          <w:tcPr>
            <w:tcW w:w="22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18"/>
                <w:szCs w:val="18"/>
                <w:color w:val="auto"/>
              </w:rPr>
              <w:t>(404) 816-8830</w:t>
            </w:r>
          </w:p>
        </w:tc>
        <w:tc>
          <w:tcPr>
            <w:tcW w:w="48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Follow the on-screen instructions</w:t>
            </w:r>
          </w:p>
        </w:tc>
        <w:tc>
          <w:tcPr>
            <w:tcW w:w="414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Include your Shareholder ID</w:t>
            </w:r>
          </w:p>
        </w:tc>
      </w:tr>
      <w:tr>
        <w:trPr>
          <w:trHeight w:val="27"/>
        </w:trPr>
        <w:tc>
          <w:tcPr>
            <w:tcW w:w="2280" w:type="dxa"/>
            <w:vAlign w:val="bottom"/>
            <w:tcBorders>
              <w:left w:val="single" w:sz="8" w:color="auto"/>
              <w:bottom w:val="single" w:sz="8" w:color="auto"/>
              <w:right w:val="single" w:sz="8" w:color="auto"/>
            </w:tcBorders>
          </w:tcPr>
          <w:p>
            <w:pPr>
              <w:spacing w:after="0"/>
              <w:rPr>
                <w:sz w:val="2"/>
                <w:szCs w:val="2"/>
                <w:color w:val="auto"/>
              </w:rPr>
            </w:pPr>
          </w:p>
        </w:tc>
        <w:tc>
          <w:tcPr>
            <w:tcW w:w="4820" w:type="dxa"/>
            <w:vAlign w:val="bottom"/>
            <w:tcBorders>
              <w:bottom w:val="single" w:sz="8" w:color="auto"/>
              <w:right w:val="single" w:sz="8" w:color="auto"/>
            </w:tcBorders>
          </w:tcPr>
          <w:p>
            <w:pPr>
              <w:spacing w:after="0"/>
              <w:rPr>
                <w:sz w:val="2"/>
                <w:szCs w:val="2"/>
                <w:color w:val="auto"/>
              </w:rPr>
            </w:pPr>
          </w:p>
        </w:tc>
        <w:tc>
          <w:tcPr>
            <w:tcW w:w="4140" w:type="dxa"/>
            <w:vAlign w:val="bottom"/>
            <w:tcBorders>
              <w:bottom w:val="single" w:sz="8" w:color="auto"/>
              <w:right w:val="single" w:sz="8" w:color="auto"/>
            </w:tcBorders>
          </w:tcPr>
          <w:p>
            <w:pPr>
              <w:spacing w:after="0"/>
              <w:rPr>
                <w:sz w:val="2"/>
                <w:szCs w:val="2"/>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How to Vote (you may vote until 5:00p.m. Eastern Time on December 3rd, 2024):</w:t>
      </w:r>
    </w:p>
    <w:p>
      <w:pPr>
        <w:spacing w:after="0" w:line="225" w:lineRule="exact"/>
        <w:rPr>
          <w:sz w:val="20"/>
          <w:szCs w:val="20"/>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Internet: </w:t>
      </w:r>
      <w:r>
        <w:rPr>
          <w:rFonts w:ascii="Times New Roman" w:cs="Times New Roman" w:eastAsia="Times New Roman" w:hAnsi="Times New Roman"/>
          <w:sz w:val="18"/>
          <w:szCs w:val="18"/>
          <w:color w:val="auto"/>
        </w:rPr>
        <w:t>Please visit www.mountainsharetransfer.com/NCRA</w:t>
      </w:r>
    </w:p>
    <w:p>
      <w:pPr>
        <w:spacing w:after="0" w:line="3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By Facsimile</w:t>
      </w:r>
      <w:r>
        <w:rPr>
          <w:rFonts w:ascii="Times New Roman" w:cs="Times New Roman" w:eastAsia="Times New Roman" w:hAnsi="Times New Roman"/>
          <w:sz w:val="18"/>
          <w:szCs w:val="18"/>
          <w:color w:val="auto"/>
        </w:rPr>
        <w:t>: Please fax a signed Proxy Card to (404) 816-8830</w:t>
      </w:r>
    </w:p>
    <w:p>
      <w:pPr>
        <w:spacing w:after="0" w:line="9"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By Email: </w:t>
      </w:r>
      <w:r>
        <w:rPr>
          <w:rFonts w:ascii="Times New Roman" w:cs="Times New Roman" w:eastAsia="Times New Roman" w:hAnsi="Times New Roman"/>
          <w:sz w:val="18"/>
          <w:szCs w:val="18"/>
          <w:color w:val="auto"/>
        </w:rPr>
        <w:t>Please email a copy of a signed Proxy Card to: vote@mountainsharetransfer.com</w:t>
      </w:r>
    </w:p>
    <w:p>
      <w:pPr>
        <w:spacing w:after="0" w:line="9" w:lineRule="exact"/>
        <w:rPr>
          <w:rFonts w:ascii="Times New Roman" w:cs="Times New Roman" w:eastAsia="Times New Roman" w:hAnsi="Times New Roman"/>
          <w:sz w:val="18"/>
          <w:szCs w:val="18"/>
          <w:color w:val="auto"/>
        </w:rPr>
      </w:pPr>
    </w:p>
    <w:p>
      <w:pPr>
        <w:jc w:val="both"/>
        <w:ind w:left="1300" w:right="60" w:hanging="644"/>
        <w:spacing w:after="0" w:line="277" w:lineRule="auto"/>
        <w:tabs>
          <w:tab w:leader="none" w:pos="1300" w:val="left"/>
        </w:tabs>
        <w:numPr>
          <w:ilvl w:val="0"/>
          <w:numId w:val="38"/>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b w:val="1"/>
          <w:bCs w:val="1"/>
          <w:color w:val="auto"/>
        </w:rPr>
        <w:t xml:space="preserve">By Mail: </w:t>
      </w:r>
      <w:r>
        <w:rPr>
          <w:rFonts w:ascii="Times New Roman" w:cs="Times New Roman" w:eastAsia="Times New Roman" w:hAnsi="Times New Roman"/>
          <w:sz w:val="17"/>
          <w:szCs w:val="17"/>
          <w:color w:val="auto"/>
        </w:rPr>
        <w:t>If you received printed proxy materials, mailing your signed proxy card or voter instruction card. If you choose to submit your</w:t>
      </w:r>
      <w:r>
        <w:rPr>
          <w:rFonts w:ascii="Times New Roman" w:cs="Times New Roman" w:eastAsia="Times New Roman" w:hAnsi="Times New Roman"/>
          <w:sz w:val="17"/>
          <w:szCs w:val="17"/>
          <w:b w:val="1"/>
          <w:bCs w:val="1"/>
          <w:color w:val="auto"/>
        </w:rPr>
        <w:t xml:space="preserve"> </w:t>
      </w:r>
      <w:r>
        <w:rPr>
          <w:rFonts w:ascii="Times New Roman" w:cs="Times New Roman" w:eastAsia="Times New Roman" w:hAnsi="Times New Roman"/>
          <w:sz w:val="17"/>
          <w:szCs w:val="17"/>
          <w:color w:val="auto"/>
        </w:rPr>
        <w:t>proxy by mail, simply mark, date and sign your proxy and return it in the postage-paid envelope provided or to Mountain Share Transfer, LLC. c/o 2030 Powers Ferry Road SE, Suite # 212, Atlanta, GA. 30339. The signed proxy must be received prior to the Annual Meeting.</w:t>
      </w:r>
    </w:p>
    <w:p>
      <w:pPr>
        <w:spacing w:after="0" w:line="16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VOTING ITEMS: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The Board of Directors recommends that you vote FOR the following:</w:t>
      </w:r>
    </w:p>
    <w:p>
      <w:pPr>
        <w:spacing w:after="0" w:line="229" w:lineRule="exact"/>
        <w:rPr>
          <w:sz w:val="20"/>
          <w:szCs w:val="20"/>
          <w:color w:val="auto"/>
        </w:rPr>
      </w:pPr>
    </w:p>
    <w:p>
      <w:pPr>
        <w:ind w:left="660" w:hanging="652"/>
        <w:spacing w:after="0"/>
        <w:tabs>
          <w:tab w:leader="none" w:pos="6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Election of Directors</w:t>
      </w:r>
    </w:p>
    <w:p>
      <w:pPr>
        <w:spacing w:after="0" w:line="248" w:lineRule="exact"/>
        <w:rPr>
          <w:sz w:val="20"/>
          <w:szCs w:val="20"/>
          <w:color w:val="auto"/>
        </w:rPr>
      </w:pPr>
    </w:p>
    <w:tbl>
      <w:tblPr>
        <w:tblLayout w:type="fixed"/>
        <w:tblInd w:w="680" w:type="dxa"/>
        <w:tblCellMar>
          <w:top w:w="0" w:type="dxa"/>
          <w:left w:w="0" w:type="dxa"/>
          <w:bottom w:w="0" w:type="dxa"/>
          <w:right w:w="0" w:type="dxa"/>
        </w:tblCellMar>
      </w:tblPr>
      <w:tr>
        <w:trPr>
          <w:trHeight w:val="220"/>
        </w:trPr>
        <w:tc>
          <w:tcPr>
            <w:tcW w:w="132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Nominees:</w:t>
            </w: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01)</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Gerald Lindberg</w:t>
            </w:r>
          </w:p>
        </w:tc>
        <w:tc>
          <w:tcPr>
            <w:tcW w:w="10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02)</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Sean Filson</w:t>
            </w:r>
          </w:p>
        </w:tc>
        <w:tc>
          <w:tcPr>
            <w:tcW w:w="2280" w:type="dxa"/>
            <w:vAlign w:val="bottom"/>
          </w:tcPr>
          <w:p>
            <w:pPr>
              <w:ind w:left="720"/>
              <w:spacing w:after="0"/>
              <w:rPr>
                <w:sz w:val="20"/>
                <w:szCs w:val="20"/>
                <w:color w:val="auto"/>
              </w:rPr>
            </w:pPr>
            <w:r>
              <w:rPr>
                <w:rFonts w:ascii="Times New Roman" w:cs="Times New Roman" w:eastAsia="Times New Roman" w:hAnsi="Times New Roman"/>
                <w:sz w:val="18"/>
                <w:szCs w:val="18"/>
                <w:color w:val="auto"/>
                <w:w w:val="98"/>
              </w:rPr>
              <w:t>03) Hui-Ying Zhuang</w:t>
            </w:r>
          </w:p>
        </w:tc>
      </w:tr>
      <w:tr>
        <w:trPr>
          <w:trHeight w:val="234"/>
        </w:trPr>
        <w:tc>
          <w:tcPr>
            <w:tcW w:w="1320" w:type="dxa"/>
            <w:vAlign w:val="bottom"/>
          </w:tcPr>
          <w:p>
            <w:pPr>
              <w:spacing w:after="0"/>
              <w:rPr>
                <w:sz w:val="20"/>
                <w:szCs w:val="20"/>
                <w:color w:val="auto"/>
              </w:rPr>
            </w:pPr>
          </w:p>
        </w:tc>
        <w:tc>
          <w:tcPr>
            <w:tcW w:w="7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04)</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Yiwen Zhang</w:t>
            </w:r>
          </w:p>
        </w:tc>
        <w:tc>
          <w:tcPr>
            <w:tcW w:w="100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05)</w:t>
            </w:r>
          </w:p>
        </w:tc>
        <w:tc>
          <w:tcPr>
            <w:tcW w:w="1920" w:type="dxa"/>
            <w:vAlign w:val="bottom"/>
          </w:tcPr>
          <w:p>
            <w:pPr>
              <w:ind w:left="20"/>
              <w:spacing w:after="0"/>
              <w:rPr>
                <w:sz w:val="20"/>
                <w:szCs w:val="20"/>
                <w:color w:val="auto"/>
              </w:rPr>
            </w:pPr>
            <w:r>
              <w:rPr>
                <w:rFonts w:ascii="Times New Roman" w:cs="Times New Roman" w:eastAsia="Times New Roman" w:hAnsi="Times New Roman"/>
                <w:sz w:val="18"/>
                <w:szCs w:val="18"/>
                <w:color w:val="auto"/>
              </w:rPr>
              <w:t>Song-Yuan Teng</w:t>
            </w:r>
          </w:p>
        </w:tc>
        <w:tc>
          <w:tcPr>
            <w:tcW w:w="2280" w:type="dxa"/>
            <w:vAlign w:val="bottom"/>
          </w:tcPr>
          <w:p>
            <w:pPr>
              <w:spacing w:after="0"/>
              <w:rPr>
                <w:sz w:val="20"/>
                <w:szCs w:val="20"/>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The Board of Directors recommends that you vote FOR the following proposal:</w:t>
      </w:r>
    </w:p>
    <w:p>
      <w:pPr>
        <w:spacing w:after="0" w:line="229" w:lineRule="exact"/>
        <w:rPr>
          <w:sz w:val="20"/>
          <w:szCs w:val="20"/>
          <w:color w:val="auto"/>
        </w:rPr>
      </w:pPr>
    </w:p>
    <w:p>
      <w:pPr>
        <w:ind w:left="660" w:hanging="652"/>
        <w:spacing w:after="0"/>
        <w:tabs>
          <w:tab w:leader="none" w:pos="6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ratify the appointment of Enmore, LLP. to serve as the independent auditor of the Company for the fiscal year ending December 31, 2024.</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Pursuant to Securities Exchange Commission (SEC) rules, you are receiving this notice that the proxy materials for the annual meeting are available on the Internet. Please follow the instructions above to view the materials and vote or request printed copies.</w:t>
      </w:r>
    </w:p>
    <w:p>
      <w:pPr>
        <w:spacing w:after="0" w:line="165" w:lineRule="exact"/>
        <w:rPr>
          <w:sz w:val="20"/>
          <w:szCs w:val="20"/>
          <w:color w:val="auto"/>
        </w:rPr>
      </w:pPr>
    </w:p>
    <w:p>
      <w:pPr>
        <w:jc w:val="both"/>
        <w:spacing w:after="0" w:line="225" w:lineRule="auto"/>
        <w:rPr>
          <w:sz w:val="20"/>
          <w:szCs w:val="20"/>
          <w:color w:val="auto"/>
        </w:rPr>
      </w:pPr>
      <w:r>
        <w:rPr>
          <w:rFonts w:ascii="Times New Roman" w:cs="Times New Roman" w:eastAsia="Times New Roman" w:hAnsi="Times New Roman"/>
          <w:sz w:val="18"/>
          <w:szCs w:val="18"/>
          <w:color w:val="auto"/>
        </w:rPr>
        <w:t>The Board of Directors has fixed the close of business on October 30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2024 as the record date for the determination of stockholders entitled to receive notice of the annual meeting and to vote the shares of our common stock, par value $0.001 per share, they held on that date at the meeting, or any postponement or adjournment of the meeting.</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83" w:right="339" w:bottom="1440" w:gutter="0" w:footer="0" w:header="0"/>
        </w:sectPr>
      </w:pPr>
    </w:p>
    <w:bookmarkStart w:id="30" w:name="page31"/>
    <w:bookmarkEnd w:id="30"/>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Nocera, Inc.</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2024 Proxy Card</w:t>
      </w:r>
    </w:p>
    <w:p>
      <w:pPr>
        <w:spacing w:after="0" w:line="191"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undersigned hereby appoints Andy Jin as attorney and proxy for the undersigned, with full power of substitution, for and in the name, place and stead of the undersigned, to represent and vote, as designated below, all shares of stock of Nocera, Inc., a Nevada corporation, held of record by the undersigned</w:t>
      </w:r>
    </w:p>
    <w:p>
      <w:pPr>
        <w:jc w:val="both"/>
        <w:spacing w:after="0" w:line="221" w:lineRule="auto"/>
        <w:rPr>
          <w:sz w:val="20"/>
          <w:szCs w:val="20"/>
          <w:color w:val="auto"/>
        </w:rPr>
      </w:pPr>
      <w:r>
        <w:rPr>
          <w:rFonts w:ascii="Times New Roman" w:cs="Times New Roman" w:eastAsia="Times New Roman" w:hAnsi="Times New Roman"/>
          <w:sz w:val="18"/>
          <w:szCs w:val="18"/>
          <w:color w:val="auto"/>
        </w:rPr>
        <w:t>on October 30th, 2024, at the Annual Meeting of the Shareholders to be held on December 16</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2024, or at any adjournment or postponement of such meeting, in accordance with and as described in the Notice of Annual Meeting of Shareholders and Proxy Statement. If no direction is given, this proxy will be voted </w:t>
      </w:r>
      <w:r>
        <w:rPr>
          <w:rFonts w:ascii="Times New Roman" w:cs="Times New Roman" w:eastAsia="Times New Roman" w:hAnsi="Times New Roman"/>
          <w:sz w:val="18"/>
          <w:szCs w:val="18"/>
          <w:u w:val="single" w:color="auto"/>
          <w:color w:val="auto"/>
        </w:rPr>
        <w:t>FOR</w:t>
      </w:r>
      <w:r>
        <w:rPr>
          <w:rFonts w:ascii="Times New Roman" w:cs="Times New Roman" w:eastAsia="Times New Roman" w:hAnsi="Times New Roman"/>
          <w:sz w:val="18"/>
          <w:szCs w:val="18"/>
          <w:color w:val="auto"/>
        </w:rPr>
        <w:t xml:space="preserve"> Proposals 1, &amp; 2 and in the discretion of the proxy as to such other matters as may properly come before the meeting.</w:t>
      </w:r>
    </w:p>
    <w:p>
      <w:pPr>
        <w:spacing w:after="0" w:line="19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[X] Please mark the votes as in this example.</w:t>
      </w:r>
    </w:p>
    <w:p>
      <w:pPr>
        <w:spacing w:after="0" w:line="2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The Board of Directors Recommends that you vote FOR all directors listed in</w:t>
      </w:r>
    </w:p>
    <w:p>
      <w:pPr>
        <w:spacing w:after="0" w:line="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Proposal 1 and vote FOR Proposal 2</w:t>
      </w:r>
    </w:p>
    <w:p>
      <w:pPr>
        <w:spacing w:after="0" w:line="187" w:lineRule="exact"/>
        <w:rPr>
          <w:sz w:val="20"/>
          <w:szCs w:val="20"/>
          <w:color w:val="auto"/>
        </w:rPr>
      </w:pPr>
    </w:p>
    <w:p>
      <w:pPr>
        <w:spacing w:after="0"/>
        <w:tabs>
          <w:tab w:leader="none" w:pos="3820" w:val="left"/>
          <w:tab w:leader="none" w:pos="8020" w:val="left"/>
          <w:tab w:leader="none" w:pos="9140" w:val="left"/>
          <w:tab w:leader="none" w:pos="10360" w:val="left"/>
        </w:tabs>
        <w:rPr>
          <w:sz w:val="20"/>
          <w:szCs w:val="20"/>
          <w:color w:val="auto"/>
        </w:rPr>
      </w:pPr>
      <w:r>
        <w:rPr>
          <w:rFonts w:ascii="Times New Roman" w:cs="Times New Roman" w:eastAsia="Times New Roman" w:hAnsi="Times New Roman"/>
          <w:sz w:val="18"/>
          <w:szCs w:val="18"/>
          <w:b w:val="1"/>
          <w:bCs w:val="1"/>
          <w:color w:val="auto"/>
        </w:rPr>
        <w:t>Proposal #</w:t>
      </w:r>
      <w:r>
        <w:rPr>
          <w:sz w:val="20"/>
          <w:szCs w:val="20"/>
          <w:color w:val="auto"/>
        </w:rPr>
        <w:tab/>
      </w:r>
      <w:r>
        <w:rPr>
          <w:rFonts w:ascii="Times New Roman" w:cs="Times New Roman" w:eastAsia="Times New Roman" w:hAnsi="Times New Roman"/>
          <w:sz w:val="18"/>
          <w:szCs w:val="18"/>
          <w:b w:val="1"/>
          <w:bCs w:val="1"/>
          <w:color w:val="auto"/>
        </w:rPr>
        <w:t>Description</w:t>
      </w:r>
      <w:r>
        <w:rPr>
          <w:sz w:val="20"/>
          <w:szCs w:val="20"/>
          <w:color w:val="auto"/>
        </w:rPr>
        <w:tab/>
      </w:r>
      <w:r>
        <w:rPr>
          <w:rFonts w:ascii="Times New Roman" w:cs="Times New Roman" w:eastAsia="Times New Roman" w:hAnsi="Times New Roman"/>
          <w:sz w:val="18"/>
          <w:szCs w:val="18"/>
          <w:b w:val="1"/>
          <w:bCs w:val="1"/>
          <w:color w:val="auto"/>
        </w:rPr>
        <w:t>FOR</w:t>
      </w:r>
      <w:r>
        <w:rPr>
          <w:sz w:val="20"/>
          <w:szCs w:val="20"/>
          <w:color w:val="auto"/>
        </w:rPr>
        <w:tab/>
      </w:r>
      <w:r>
        <w:rPr>
          <w:rFonts w:ascii="Times New Roman" w:cs="Times New Roman" w:eastAsia="Times New Roman" w:hAnsi="Times New Roman"/>
          <w:sz w:val="18"/>
          <w:szCs w:val="18"/>
          <w:b w:val="1"/>
          <w:bCs w:val="1"/>
          <w:color w:val="auto"/>
        </w:rPr>
        <w:t>Against</w:t>
      </w:r>
      <w:r>
        <w:rPr>
          <w:sz w:val="20"/>
          <w:szCs w:val="20"/>
          <w:color w:val="auto"/>
        </w:rPr>
        <w:tab/>
      </w:r>
      <w:r>
        <w:rPr>
          <w:rFonts w:ascii="Times New Roman" w:cs="Times New Roman" w:eastAsia="Times New Roman" w:hAnsi="Times New Roman"/>
          <w:sz w:val="17"/>
          <w:szCs w:val="17"/>
          <w:b w:val="1"/>
          <w:bCs w:val="1"/>
          <w:color w:val="auto"/>
        </w:rPr>
        <w:t>Abstain</w:t>
      </w:r>
    </w:p>
    <w:p>
      <w:pPr>
        <w:spacing w:after="0" w:line="31" w:lineRule="exact"/>
        <w:rPr>
          <w:sz w:val="20"/>
          <w:szCs w:val="20"/>
          <w:color w:val="auto"/>
        </w:rPr>
      </w:pPr>
    </w:p>
    <w:p>
      <w:pPr>
        <w:ind w:left="1020" w:right="8720" w:hanging="1012"/>
        <w:spacing w:after="0" w:line="397" w:lineRule="auto"/>
        <w:tabs>
          <w:tab w:leader="none" w:pos="1020" w:val="left"/>
        </w:tabs>
        <w:numPr>
          <w:ilvl w:val="0"/>
          <w:numId w:val="41"/>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Election of Directors Nominees Include:</w:t>
      </w:r>
    </w:p>
    <w:p>
      <w:pPr>
        <w:spacing w:after="0" w:line="1" w:lineRule="exact"/>
        <w:rPr>
          <w:rFonts w:ascii="Times New Roman" w:cs="Times New Roman" w:eastAsia="Times New Roman" w:hAnsi="Times New Roman"/>
          <w:sz w:val="17"/>
          <w:szCs w:val="17"/>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Gerald H. Lindberg</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Sean Filson</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Hui-Ying Zhuang</w:t>
      </w:r>
    </w:p>
    <w:p>
      <w:pPr>
        <w:spacing w:after="0" w:line="22"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Yiwen Zhang</w:t>
      </w:r>
    </w:p>
    <w:p>
      <w:pPr>
        <w:spacing w:after="0" w:line="9" w:lineRule="exact"/>
        <w:rPr>
          <w:rFonts w:ascii="Times New Roman" w:cs="Times New Roman" w:eastAsia="Times New Roman" w:hAnsi="Times New Roman"/>
          <w:sz w:val="18"/>
          <w:szCs w:val="18"/>
          <w:color w:val="auto"/>
        </w:rPr>
      </w:pPr>
    </w:p>
    <w:p>
      <w:pPr>
        <w:ind w:left="1700" w:hanging="342"/>
        <w:spacing w:after="0"/>
        <w:tabs>
          <w:tab w:leader="none" w:pos="1700"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Song-Yuan Teng</w:t>
      </w:r>
    </w:p>
    <w:p>
      <w:pPr>
        <w:spacing w:after="0" w:line="233" w:lineRule="exact"/>
        <w:rPr>
          <w:rFonts w:ascii="Times New Roman" w:cs="Times New Roman" w:eastAsia="Times New Roman" w:hAnsi="Times New Roman"/>
          <w:sz w:val="18"/>
          <w:szCs w:val="18"/>
          <w:color w:val="auto"/>
        </w:rPr>
      </w:pPr>
    </w:p>
    <w:p>
      <w:pPr>
        <w:ind w:left="1020" w:right="3740" w:hanging="1012"/>
        <w:spacing w:after="0" w:line="292" w:lineRule="auto"/>
        <w:tabs>
          <w:tab w:leader="none" w:pos="102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Ratification of the appointment of Enmore, LLP. as the indendent auditor of the Company for the fiscal year ending December 31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2024.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4865370</wp:posOffset>
            </wp:positionH>
            <wp:positionV relativeFrom="paragraph">
              <wp:posOffset>-105410</wp:posOffset>
            </wp:positionV>
            <wp:extent cx="2271395"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-551180</wp:posOffset>
            </wp:positionV>
            <wp:extent cx="2271395"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-833755</wp:posOffset>
            </wp:positionV>
            <wp:extent cx="2271395"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extLst>
                    </a:blip>
                    <a:srcRect/>
                    <a:stretch>
                      <a:fillRect/>
                    </a:stretch>
                  </pic:blipFill>
                  <pic:spPr bwMode="auto">
                    <a:xfrm>
                      <a:off x="0" y="0"/>
                      <a:ext cx="2271395" cy="8255"/>
                    </a:xfrm>
                    <a:prstGeom prst="rect">
                      <a:avLst/>
                    </a:prstGeom>
                    <a:noFill/>
                  </pic:spPr>
                </pic:pic>
              </a:graphicData>
            </a:graphic>
          </wp:anchor>
        </w:drawing>
        <w:drawing>
          <wp:anchor simplePos="0" relativeHeight="251657728" behindDoc="1" locked="0" layoutInCell="0" allowOverlap="1">
            <wp:simplePos x="0" y="0"/>
            <wp:positionH relativeFrom="column">
              <wp:posOffset>4865370</wp:posOffset>
            </wp:positionH>
            <wp:positionV relativeFrom="paragraph">
              <wp:posOffset>-1116965</wp:posOffset>
            </wp:positionV>
            <wp:extent cx="2271395"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extLst>
                    </a:blip>
                    <a:srcRect/>
                    <a:stretch>
                      <a:fillRect/>
                    </a:stretch>
                  </pic:blipFill>
                  <pic:spPr bwMode="auto">
                    <a:xfrm>
                      <a:off x="0" y="0"/>
                      <a:ext cx="2271395" cy="8255"/>
                    </a:xfrm>
                    <a:prstGeom prst="rect">
                      <a:avLst/>
                    </a:prstGeom>
                    <a:noFill/>
                  </pic:spPr>
                </pic:pic>
              </a:graphicData>
            </a:graphic>
          </wp:anchor>
        </w:drawing>
      </w:r>
    </w:p>
    <w:p>
      <w:pPr>
        <w:spacing w:after="0" w:line="267" w:lineRule="exact"/>
        <w:rPr>
          <w:sz w:val="20"/>
          <w:szCs w:val="20"/>
          <w:color w:val="auto"/>
        </w:rPr>
      </w:pPr>
    </w:p>
    <w:p>
      <w:pPr>
        <w:ind w:right="180"/>
        <w:spacing w:after="0" w:line="282" w:lineRule="auto"/>
        <w:rPr>
          <w:sz w:val="20"/>
          <w:szCs w:val="20"/>
          <w:color w:val="auto"/>
        </w:rPr>
      </w:pPr>
      <w:r>
        <w:rPr>
          <w:rFonts w:ascii="Times New Roman" w:cs="Times New Roman" w:eastAsia="Times New Roman" w:hAnsi="Times New Roman"/>
          <w:sz w:val="18"/>
          <w:szCs w:val="18"/>
          <w:color w:val="auto"/>
        </w:rPr>
        <w:t>The undersigned hereby revokes any proxy or proxies heretofore given to vote upon or act with respect to such stock and hereby ratifies all that the proxies, their substitutes, or any of them, may lawfully do by virtue hereof.</w:t>
      </w:r>
    </w:p>
    <w:p>
      <w:pPr>
        <w:spacing w:after="0" w:line="162" w:lineRule="exact"/>
        <w:rPr>
          <w:sz w:val="20"/>
          <w:szCs w:val="20"/>
          <w:color w:val="auto"/>
        </w:rPr>
      </w:pPr>
    </w:p>
    <w:p>
      <w:pPr>
        <w:ind w:right="180"/>
        <w:spacing w:after="0" w:line="282" w:lineRule="auto"/>
        <w:rPr>
          <w:sz w:val="20"/>
          <w:szCs w:val="20"/>
          <w:color w:val="auto"/>
        </w:rPr>
      </w:pPr>
      <w:r>
        <w:rPr>
          <w:rFonts w:ascii="Times New Roman" w:cs="Times New Roman" w:eastAsia="Times New Roman" w:hAnsi="Times New Roman"/>
          <w:sz w:val="18"/>
          <w:szCs w:val="18"/>
          <w:color w:val="auto"/>
        </w:rPr>
        <w:t>Please sign exactly as your name appears on the address label affixed hereto. If acting as attorney, executor, trustee or in other representative capacity, sign name and title.</w:t>
      </w:r>
    </w:p>
    <w:p>
      <w:pPr>
        <w:sectPr>
          <w:pgSz w:w="11900" w:h="16838" w:orient="portrait"/>
          <w:cols w:equalWidth="0" w:num="1">
            <w:col w:w="11240"/>
          </w:cols>
          <w:pgMar w:left="320" w:top="783" w:right="339" w:bottom="1440" w:gutter="0" w:footer="0" w:header="0"/>
        </w:sectPr>
      </w:pPr>
    </w:p>
    <w:p>
      <w:pPr>
        <w:spacing w:after="0" w:line="378" w:lineRule="exact"/>
        <w:rPr>
          <w:sz w:val="20"/>
          <w:szCs w:val="20"/>
          <w:color w:val="auto"/>
        </w:rPr>
      </w:pPr>
    </w:p>
    <w:p>
      <w:pPr>
        <w:ind w:right="1560"/>
        <w:spacing w:after="0" w:line="282" w:lineRule="auto"/>
        <w:rPr>
          <w:sz w:val="20"/>
          <w:szCs w:val="20"/>
          <w:color w:val="auto"/>
        </w:rPr>
      </w:pPr>
      <w:r>
        <w:rPr>
          <w:rFonts w:ascii="Times New Roman" w:cs="Times New Roman" w:eastAsia="Times New Roman" w:hAnsi="Times New Roman"/>
          <w:sz w:val="18"/>
          <w:szCs w:val="18"/>
          <w:color w:val="auto"/>
        </w:rPr>
        <w:t>_____________________________________ (signature)</w:t>
      </w:r>
    </w:p>
    <w:p>
      <w:pPr>
        <w:spacing w:after="0" w:line="20" w:lineRule="exact"/>
        <w:rPr>
          <w:sz w:val="20"/>
          <w:szCs w:val="20"/>
          <w:color w:val="auto"/>
        </w:rPr>
      </w:pPr>
      <w:r>
        <w:rPr>
          <w:sz w:val="20"/>
          <w:szCs w:val="20"/>
          <w:color w:val="auto"/>
        </w:rPr>
        <w:br w:type="column"/>
      </w:r>
    </w:p>
    <w:p>
      <w:pPr>
        <w:spacing w:after="0" w:line="3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 Joint Owner</w:t>
      </w:r>
    </w:p>
    <w:p>
      <w:pPr>
        <w:spacing w:after="0" w:line="245"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178" w:lineRule="exact"/>
        <w:rPr>
          <w:sz w:val="20"/>
          <w:szCs w:val="20"/>
          <w:color w:val="auto"/>
        </w:rPr>
      </w:pPr>
    </w:p>
    <w:p>
      <w:pPr>
        <w:ind w:right="1660"/>
        <w:spacing w:after="0" w:line="282" w:lineRule="auto"/>
        <w:rPr>
          <w:sz w:val="20"/>
          <w:szCs w:val="20"/>
          <w:color w:val="auto"/>
        </w:rPr>
      </w:pPr>
      <w:r>
        <w:rPr>
          <w:rFonts w:ascii="Times New Roman" w:cs="Times New Roman" w:eastAsia="Times New Roman" w:hAnsi="Times New Roman"/>
          <w:sz w:val="18"/>
          <w:szCs w:val="18"/>
          <w:color w:val="auto"/>
        </w:rPr>
        <w:t>____________________________________ (printed name)</w:t>
      </w:r>
    </w:p>
    <w:p>
      <w:pPr>
        <w:spacing w:after="0" w:line="20" w:lineRule="exact"/>
        <w:rPr>
          <w:sz w:val="20"/>
          <w:szCs w:val="20"/>
          <w:color w:val="auto"/>
        </w:rPr>
      </w:pPr>
      <w:r>
        <w:rPr>
          <w:sz w:val="20"/>
          <w:szCs w:val="20"/>
          <w:color w:val="auto"/>
        </w:rPr>
        <w:br w:type="column"/>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(printed name)</w:t>
      </w:r>
    </w:p>
    <w:p>
      <w:pPr>
        <w:spacing w:after="0" w:line="207"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rPr>
          <w:sz w:val="20"/>
          <w:szCs w:val="20"/>
          <w:color w:val="auto"/>
        </w:rPr>
      </w:pPr>
      <w:r>
        <w:rPr>
          <w:rFonts w:ascii="Times New Roman" w:cs="Times New Roman" w:eastAsia="Times New Roman" w:hAnsi="Times New Roman"/>
          <w:sz w:val="18"/>
          <w:szCs w:val="18"/>
          <w:color w:val="auto"/>
        </w:rPr>
        <w:t>Date: ____________________________</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8"/>
          <w:szCs w:val="18"/>
          <w:color w:val="auto"/>
        </w:rPr>
        <w:t>Date: ____________________________</w:t>
      </w:r>
    </w:p>
    <w:p>
      <w:pPr>
        <w:spacing w:after="0" w:line="200"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 #:</w:t>
      </w:r>
    </w:p>
    <w:p>
      <w:pPr>
        <w:spacing w:after="0" w:line="20" w:lineRule="exact"/>
        <w:rPr>
          <w:sz w:val="20"/>
          <w:szCs w:val="20"/>
          <w:color w:val="auto"/>
        </w:rPr>
      </w:pPr>
      <w:r>
        <w:rPr>
          <w:sz w:val="20"/>
          <w:szCs w:val="20"/>
          <w:color w:val="auto"/>
        </w:rPr>
        <w:br w:type="column"/>
      </w:r>
    </w:p>
    <w:p>
      <w:pPr>
        <w:spacing w:after="0" w:line="5" w:lineRule="exact"/>
        <w:rPr>
          <w:sz w:val="20"/>
          <w:szCs w:val="20"/>
          <w:color w:val="auto"/>
        </w:rPr>
      </w:pPr>
    </w:p>
    <w:p>
      <w:pPr>
        <w:jc w:val="center"/>
        <w:ind w:right="4780"/>
        <w:spacing w:after="0"/>
        <w:rPr>
          <w:sz w:val="20"/>
          <w:szCs w:val="20"/>
          <w:color w:val="auto"/>
        </w:rPr>
      </w:pPr>
      <w:r>
        <w:rPr>
          <w:rFonts w:ascii="Times New Roman" w:cs="Times New Roman" w:eastAsia="Times New Roman" w:hAnsi="Times New Roman"/>
          <w:sz w:val="18"/>
          <w:szCs w:val="18"/>
          <w:color w:val="auto"/>
        </w:rPr>
        <w:t>Control ID:</w:t>
      </w:r>
    </w:p>
    <w:p>
      <w:pPr>
        <w:spacing w:after="0" w:line="200"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ID: _________________________</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Shares Voted: _________________________</w:t>
      </w:r>
    </w:p>
    <w:p>
      <w:pPr>
        <w:spacing w:after="0" w:line="211" w:lineRule="exact"/>
        <w:rPr>
          <w:sz w:val="20"/>
          <w:szCs w:val="20"/>
          <w:color w:val="auto"/>
        </w:rPr>
      </w:pPr>
    </w:p>
    <w:p>
      <w:pPr>
        <w:sectPr>
          <w:pgSz w:w="11900" w:h="16838" w:orient="portrait"/>
          <w:cols w:equalWidth="0" w:num="2">
            <w:col w:w="4900" w:space="720"/>
            <w:col w:w="5620"/>
          </w:cols>
          <w:pgMar w:left="320" w:top="783" w:right="339" w:bottom="1440" w:gutter="0" w:footer="0" w:header="0"/>
          <w:type w:val="continuous"/>
        </w:sectPr>
      </w:pPr>
    </w:p>
    <w:p>
      <w:pPr>
        <w:spacing w:after="0" w:line="200" w:lineRule="exact"/>
        <w:rPr>
          <w:sz w:val="20"/>
          <w:szCs w:val="20"/>
          <w:color w:val="auto"/>
        </w:rPr>
      </w:pPr>
    </w:p>
    <w:p>
      <w:pPr>
        <w:spacing w:after="0" w:line="25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color w:val="FF0000"/>
        </w:rPr>
        <w:t>Please print your name clearly. If we cannot read your name, we cannot record your vote.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367665</wp:posOffset>
            </wp:positionV>
            <wp:extent cx="7132320"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83" w:right="33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28C895D"/>
    <w:multiLevelType w:val="hybridMultilevel"/>
    <w:lvl w:ilvl="0">
      <w:lvlJc w:val="left"/>
      <w:lvlText w:val="☒"/>
      <w:numFmt w:val="bullet"/>
      <w:start w:val="1"/>
    </w:lvl>
  </w:abstractNum>
  <w:abstractNum w:abstractNumId="1">
    <w:nsid w:val="333AB105"/>
    <w:multiLevelType w:val="hybridMultilevel"/>
    <w:lvl w:ilvl="0">
      <w:lvlJc w:val="left"/>
      <w:lvlText w:val="☐"/>
      <w:numFmt w:val="bullet"/>
      <w:start w:val="1"/>
    </w:lvl>
  </w:abstractNum>
  <w:abstractNum w:abstractNumId="2">
    <w:nsid w:val="721DA317"/>
    <w:multiLevelType w:val="hybridMultilevel"/>
    <w:lvl w:ilvl="0">
      <w:lvlJc w:val="left"/>
      <w:lvlText w:val="☒"/>
      <w:numFmt w:val="bullet"/>
      <w:start w:val="1"/>
    </w:lvl>
  </w:abstractNum>
  <w:abstractNum w:abstractNumId="3">
    <w:nsid w:val="2443A858"/>
    <w:multiLevelType w:val="hybridMultilevel"/>
    <w:lvl w:ilvl="0">
      <w:lvlJc w:val="left"/>
      <w:lvlText w:val="☐"/>
      <w:numFmt w:val="bullet"/>
      <w:start w:val="1"/>
    </w:lvl>
  </w:abstractNum>
  <w:abstractNum w:abstractNumId="4">
    <w:nsid w:val="2D1D5AE9"/>
    <w:multiLevelType w:val="hybridMultilevel"/>
    <w:lvl w:ilvl="0">
      <w:lvlJc w:val="left"/>
      <w:lvlText w:val="☒"/>
      <w:numFmt w:val="bullet"/>
      <w:start w:val="1"/>
    </w:lvl>
  </w:abstractNum>
  <w:abstractNum w:abstractNumId="5">
    <w:nsid w:val="6763845E"/>
    <w:multiLevelType w:val="hybridMultilevel"/>
    <w:lvl w:ilvl="0">
      <w:lvlJc w:val="left"/>
      <w:lvlText w:val="☐"/>
      <w:numFmt w:val="bullet"/>
      <w:start w:val="1"/>
    </w:lvl>
    <w:lvl w:ilvl="1">
      <w:lvlJc w:val="left"/>
      <w:lvlText w:val="%2)"/>
      <w:numFmt w:val="decimal"/>
      <w:start w:val="1"/>
    </w:lvl>
  </w:abstractNum>
  <w:abstractNum w:abstractNumId="6">
    <w:nsid w:val="75A2A8D4"/>
    <w:multiLevelType w:val="hybridMultilevel"/>
    <w:lvl w:ilvl="0">
      <w:lvlJc w:val="left"/>
      <w:lvlText w:val="%1."/>
      <w:numFmt w:val="decimal"/>
      <w:start w:val="1"/>
    </w:lvl>
  </w:abstractNum>
  <w:abstractNum w:abstractNumId="7">
    <w:nsid w:val="8EDBDAB"/>
    <w:multiLevelType w:val="hybridMultilevel"/>
    <w:lvl w:ilvl="0">
      <w:lvlJc w:val="left"/>
      <w:lvlText w:val="%1:"/>
      <w:numFmt w:val="upperLetter"/>
      <w:start w:val="1"/>
    </w:lvl>
  </w:abstractNum>
  <w:abstractNum w:abstractNumId="8">
    <w:nsid w:val="79838CB2"/>
    <w:multiLevelType w:val="hybridMultilevel"/>
    <w:lvl w:ilvl="0">
      <w:lvlJc w:val="left"/>
      <w:lvlText w:val="%1:"/>
      <w:numFmt w:val="upperLetter"/>
      <w:start w:val="1"/>
    </w:lvl>
  </w:abstractNum>
  <w:abstractNum w:abstractNumId="9">
    <w:nsid w:val="4353D0CD"/>
    <w:multiLevelType w:val="hybridMultilevel"/>
    <w:lvl w:ilvl="0">
      <w:lvlJc w:val="left"/>
      <w:lvlText w:val="%1:"/>
      <w:numFmt w:val="upperLetter"/>
      <w:start w:val="1"/>
    </w:lvl>
  </w:abstractNum>
  <w:abstractNum w:abstractNumId="10">
    <w:nsid w:val="B03E0C6"/>
    <w:multiLevelType w:val="hybridMultilevel"/>
    <w:lvl w:ilvl="0">
      <w:lvlJc w:val="left"/>
      <w:lvlText w:val="%1:"/>
      <w:numFmt w:val="upperLetter"/>
      <w:start w:val="1"/>
    </w:lvl>
  </w:abstractNum>
  <w:abstractNum w:abstractNumId="11">
    <w:nsid w:val="189A769B"/>
    <w:multiLevelType w:val="hybridMultilevel"/>
    <w:lvl w:ilvl="0">
      <w:lvlJc w:val="left"/>
      <w:lvlText w:val="%1:"/>
      <w:numFmt w:val="upperLetter"/>
      <w:start w:val="1"/>
    </w:lvl>
  </w:abstractNum>
  <w:abstractNum w:abstractNumId="12">
    <w:nsid w:val="54E49EB4"/>
    <w:multiLevelType w:val="hybridMultilevel"/>
    <w:lvl w:ilvl="0">
      <w:lvlJc w:val="left"/>
      <w:lvlText w:val="%1:"/>
      <w:numFmt w:val="upperLetter"/>
      <w:start w:val="1"/>
    </w:lvl>
  </w:abstractNum>
  <w:abstractNum w:abstractNumId="13">
    <w:nsid w:val="71F32454"/>
    <w:multiLevelType w:val="hybridMultilevel"/>
    <w:lvl w:ilvl="0">
      <w:lvlJc w:val="left"/>
      <w:lvlText w:val="%1:"/>
      <w:numFmt w:val="upperLetter"/>
      <w:start w:val="1"/>
    </w:lvl>
  </w:abstractNum>
  <w:abstractNum w:abstractNumId="14">
    <w:nsid w:val="2CA88611"/>
    <w:multiLevelType w:val="hybridMultilevel"/>
    <w:lvl w:ilvl="0">
      <w:lvlJc w:val="left"/>
      <w:lvlText w:val="%1:"/>
      <w:numFmt w:val="upperLetter"/>
      <w:start w:val="1"/>
    </w:lvl>
    <w:lvl w:ilvl="1">
      <w:lvlJc w:val="left"/>
      <w:lvlText w:val="·"/>
      <w:numFmt w:val="bullet"/>
      <w:start w:val="1"/>
    </w:lvl>
  </w:abstractNum>
  <w:abstractNum w:abstractNumId="15">
    <w:nsid w:val="836C40E"/>
    <w:multiLevelType w:val="hybridMultilevel"/>
    <w:lvl w:ilvl="0">
      <w:lvlJc w:val="left"/>
      <w:lvlText w:val="%1:"/>
      <w:numFmt w:val="upperLetter"/>
      <w:start w:val="1"/>
    </w:lvl>
  </w:abstractNum>
  <w:abstractNum w:abstractNumId="16">
    <w:nsid w:val="2901D82"/>
    <w:multiLevelType w:val="hybridMultilevel"/>
    <w:lvl w:ilvl="0">
      <w:lvlJc w:val="left"/>
      <w:lvlText w:val="%1:"/>
      <w:numFmt w:val="upperLetter"/>
      <w:start w:val="17"/>
    </w:lvl>
  </w:abstractNum>
  <w:abstractNum w:abstractNumId="17">
    <w:nsid w:val="3A95F874"/>
    <w:multiLevelType w:val="hybridMultilevel"/>
    <w:lvl w:ilvl="0">
      <w:lvlJc w:val="left"/>
      <w:lvlText w:val="%1:"/>
      <w:numFmt w:val="upperLetter"/>
      <w:start w:val="1"/>
    </w:lvl>
  </w:abstractNum>
  <w:abstractNum w:abstractNumId="18">
    <w:nsid w:val="8138641"/>
    <w:multiLevelType w:val="hybridMultilevel"/>
    <w:lvl w:ilvl="0">
      <w:lvlJc w:val="left"/>
      <w:lvlText w:val="%1:"/>
      <w:numFmt w:val="upperLetter"/>
      <w:start w:val="1"/>
    </w:lvl>
    <w:lvl w:ilvl="1">
      <w:lvlJc w:val="left"/>
      <w:lvlText w:val="%2."/>
      <w:numFmt w:val="decimal"/>
      <w:start w:val="1"/>
    </w:lvl>
  </w:abstractNum>
  <w:abstractNum w:abstractNumId="19">
    <w:nsid w:val="1E7FF521"/>
    <w:multiLevelType w:val="hybridMultilevel"/>
    <w:lvl w:ilvl="0">
      <w:lvlJc w:val="left"/>
      <w:lvlText w:val="%1:"/>
      <w:numFmt w:val="upperLetter"/>
      <w:start w:val="1"/>
    </w:lvl>
  </w:abstractNum>
  <w:abstractNum w:abstractNumId="20">
    <w:nsid w:val="7C3DBD3D"/>
    <w:multiLevelType w:val="hybridMultilevel"/>
    <w:lvl w:ilvl="0">
      <w:lvlJc w:val="left"/>
      <w:lvlText w:val="%1:"/>
      <w:numFmt w:val="upperLetter"/>
      <w:start w:val="17"/>
    </w:lvl>
  </w:abstractNum>
  <w:abstractNum w:abstractNumId="21">
    <w:nsid w:val="737B8DDC"/>
    <w:multiLevelType w:val="hybridMultilevel"/>
    <w:lvl w:ilvl="0">
      <w:lvlJc w:val="left"/>
      <w:lvlText w:val="%1:"/>
      <w:numFmt w:val="upperLetter"/>
      <w:start w:val="1"/>
    </w:lvl>
  </w:abstractNum>
  <w:abstractNum w:abstractNumId="22">
    <w:nsid w:val="6CEAF087"/>
    <w:multiLevelType w:val="hybridMultilevel"/>
    <w:lvl w:ilvl="0">
      <w:lvlJc w:val="left"/>
      <w:lvlText w:val="%1:"/>
      <w:numFmt w:val="upperLetter"/>
      <w:start w:val="1"/>
    </w:lvl>
    <w:lvl w:ilvl="1">
      <w:lvlJc w:val="left"/>
      <w:lvlText w:val="·"/>
      <w:numFmt w:val="bullet"/>
      <w:start w:val="1"/>
    </w:lvl>
  </w:abstractNum>
  <w:abstractNum w:abstractNumId="23">
    <w:nsid w:val="22221A70"/>
    <w:multiLevelType w:val="hybridMultilevel"/>
    <w:lvl w:ilvl="0">
      <w:lvlJc w:val="left"/>
      <w:lvlText w:val="%1:"/>
      <w:numFmt w:val="upperLetter"/>
      <w:start w:val="1"/>
    </w:lvl>
  </w:abstractNum>
  <w:abstractNum w:abstractNumId="24">
    <w:nsid w:val="4516DDE9"/>
    <w:multiLevelType w:val="hybridMultilevel"/>
    <w:lvl w:ilvl="0">
      <w:lvlJc w:val="left"/>
      <w:lvlText w:val="%1:"/>
      <w:numFmt w:val="upperLetter"/>
      <w:start w:val="1"/>
    </w:lvl>
  </w:abstractNum>
  <w:abstractNum w:abstractNumId="25">
    <w:nsid w:val="3006C83E"/>
    <w:multiLevelType w:val="hybridMultilevel"/>
    <w:lvl w:ilvl="0">
      <w:lvlJc w:val="left"/>
      <w:lvlText w:val="%1:"/>
      <w:numFmt w:val="upperLetter"/>
      <w:start w:val="1"/>
    </w:lvl>
  </w:abstractNum>
  <w:abstractNum w:abstractNumId="26">
    <w:nsid w:val="614FD4A1"/>
    <w:multiLevelType w:val="hybridMultilevel"/>
    <w:lvl w:ilvl="0">
      <w:lvlJc w:val="left"/>
      <w:lvlText w:val="%1:"/>
      <w:numFmt w:val="upperLetter"/>
      <w:start w:val="1"/>
    </w:lvl>
  </w:abstractNum>
  <w:abstractNum w:abstractNumId="27">
    <w:nsid w:val="419AC241"/>
    <w:multiLevelType w:val="hybridMultilevel"/>
    <w:lvl w:ilvl="0">
      <w:lvlJc w:val="left"/>
      <w:lvlText w:val="·"/>
      <w:numFmt w:val="bullet"/>
      <w:start w:val="1"/>
    </w:lvl>
  </w:abstractNum>
  <w:abstractNum w:abstractNumId="28">
    <w:nsid w:val="5577F8E1"/>
    <w:multiLevelType w:val="hybridMultilevel"/>
    <w:lvl w:ilvl="0">
      <w:lvlJc w:val="left"/>
      <w:lvlText w:val="·"/>
      <w:numFmt w:val="bullet"/>
      <w:start w:val="1"/>
    </w:lvl>
    <w:lvl w:ilvl="1">
      <w:lvlJc w:val="left"/>
      <w:lvlText w:val="○"/>
      <w:numFmt w:val="bullet"/>
      <w:start w:val="1"/>
    </w:lvl>
  </w:abstractNum>
  <w:abstractNum w:abstractNumId="29">
    <w:nsid w:val="440BADFC"/>
    <w:multiLevelType w:val="hybridMultilevel"/>
    <w:lvl w:ilvl="0">
      <w:lvlJc w:val="left"/>
      <w:lvlText w:val="·"/>
      <w:numFmt w:val="bullet"/>
      <w:start w:val="1"/>
    </w:lvl>
  </w:abstractNum>
  <w:abstractNum w:abstractNumId="30">
    <w:nsid w:val="5072367"/>
    <w:multiLevelType w:val="hybridMultilevel"/>
    <w:lvl w:ilvl="0">
      <w:lvlJc w:val="left"/>
      <w:lvlText w:val="·"/>
      <w:numFmt w:val="bullet"/>
      <w:start w:val="1"/>
    </w:lvl>
  </w:abstractNum>
  <w:abstractNum w:abstractNumId="31">
    <w:nsid w:val="3804823E"/>
    <w:multiLevelType w:val="hybridMultilevel"/>
    <w:lvl w:ilvl="0">
      <w:lvlJc w:val="left"/>
      <w:lvlText w:val="·"/>
      <w:numFmt w:val="bullet"/>
      <w:start w:val="1"/>
    </w:lvl>
  </w:abstractNum>
  <w:abstractNum w:abstractNumId="32">
    <w:nsid w:val="77465F01"/>
    <w:multiLevelType w:val="hybridMultilevel"/>
    <w:lvl w:ilvl="0">
      <w:lvlJc w:val="left"/>
      <w:lvlText w:val="(%1)"/>
      <w:numFmt w:val="decimal"/>
      <w:start w:val="1"/>
    </w:lvl>
  </w:abstractNum>
  <w:abstractNum w:abstractNumId="33">
    <w:nsid w:val="7724C67E"/>
    <w:multiLevelType w:val="hybridMultilevel"/>
    <w:lvl w:ilvl="0">
      <w:lvlJc w:val="left"/>
      <w:lvlText w:val="(%1)"/>
      <w:numFmt w:val="lowerRoman"/>
      <w:start w:val="4"/>
    </w:lvl>
  </w:abstractNum>
  <w:abstractNum w:abstractNumId="34">
    <w:nsid w:val="5C482A97"/>
    <w:multiLevelType w:val="hybridMultilevel"/>
    <w:lvl w:ilvl="0">
      <w:lvlJc w:val="left"/>
      <w:lvlText w:val="(%1)"/>
      <w:numFmt w:val="decimal"/>
      <w:start w:val="1"/>
    </w:lvl>
  </w:abstractNum>
  <w:abstractNum w:abstractNumId="35">
    <w:nsid w:val="2463B9EA"/>
    <w:multiLevelType w:val="hybridMultilevel"/>
    <w:lvl w:ilvl="0">
      <w:lvlJc w:val="left"/>
      <w:lvlText w:val="(%1)"/>
      <w:numFmt w:val="decimal"/>
      <w:start w:val="1"/>
    </w:lvl>
  </w:abstractNum>
  <w:abstractNum w:abstractNumId="36">
    <w:nsid w:val="5E884ADC"/>
    <w:multiLevelType w:val="hybridMultilevel"/>
    <w:lvl w:ilvl="0">
      <w:lvlJc w:val="left"/>
      <w:lvlText w:val="%1."/>
      <w:numFmt w:val="decimal"/>
      <w:start w:val="1"/>
    </w:lvl>
  </w:abstractNum>
  <w:abstractNum w:abstractNumId="37">
    <w:nsid w:val="51EAD36B"/>
    <w:multiLevelType w:val="hybridMultilevel"/>
    <w:lvl w:ilvl="0">
      <w:lvlJc w:val="left"/>
      <w:lvlText w:val="%1."/>
      <w:numFmt w:val="decimal"/>
      <w:start w:val="1"/>
    </w:lvl>
  </w:abstractNum>
  <w:abstractNum w:abstractNumId="38">
    <w:nsid w:val="2D517796"/>
    <w:multiLevelType w:val="hybridMultilevel"/>
    <w:lvl w:ilvl="0">
      <w:lvlJc w:val="left"/>
      <w:lvlText w:val="%1."/>
      <w:numFmt w:val="decimal"/>
      <w:start w:val="1"/>
    </w:lvl>
  </w:abstractNum>
  <w:abstractNum w:abstractNumId="39">
    <w:nsid w:val="580BD78F"/>
    <w:multiLevelType w:val="hybridMultilevel"/>
    <w:lvl w:ilvl="0">
      <w:lvlJc w:val="left"/>
      <w:lvlText w:val="%1."/>
      <w:numFmt w:val="decimal"/>
      <w:start w:val="2"/>
    </w:lvl>
  </w:abstractNum>
  <w:abstractNum w:abstractNumId="40">
    <w:nsid w:val="153EA438"/>
    <w:multiLevelType w:val="hybridMultilevel"/>
    <w:lvl w:ilvl="0">
      <w:lvlJc w:val="left"/>
      <w:lvlText w:val="%1."/>
      <w:numFmt w:val="decimal"/>
      <w:start w:val="1"/>
    </w:lvl>
    <w:lvl w:ilvl="1">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0" Type="http://schemas.openxmlformats.org/officeDocument/2006/relationships/hyperlink" Target="https://www.sec.gov/Archives/edgar/data/1756180/000168316823002043/nocera_i10k-123122.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2024-11-05T16:30:52Z</dcterms:created>
  <dcterms:modified xsi:type="dcterms:W3CDTF">2024-11-05T16:30:52Z</dcterms:modified>
</cp:coreProperties>
</file>