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ind w:left="0" w:right="0" w:hanging="0"/>
        <w:jc w:val="center"/>
        <w:rPr>
          <w:rFonts w:ascii="Times New Roman;Times;Serif" w:hAnsi="Times New Roman;Times;Serif"/>
          <w:b/>
          <w:i w:val="false"/>
          <w:caps w:val="false"/>
          <w:smallCaps w:val="false"/>
          <w:spacing w:val="0"/>
          <w:sz w:val="20"/>
        </w:rPr>
      </w:pPr>
      <w:bookmarkStart w:id="0" w:name="nocera_8k.htm"/>
      <w:bookmarkStart w:id="1" w:name="ksnocera_8k"/>
      <w:bookmarkEnd w:id="0"/>
      <w:bookmarkEnd w:id="1"/>
      <w:r>
        <w:rPr>
          <w:rFonts w:ascii="Times New Roman;Times;Serif" w:hAnsi="Times New Roman;Times;Serif"/>
          <w:b/>
          <w:i w:val="false"/>
          <w:caps w:val="false"/>
          <w:smallCaps w:val="false"/>
          <w:spacing w:val="0"/>
          <w:sz w:val="20"/>
        </w:rPr>
        <w:t>UNITED STATES</w:t>
      </w:r>
    </w:p>
    <w:p>
      <w:pPr>
        <w:pStyle w:val="TextBody"/>
        <w:bidi w:val="0"/>
        <w:ind w:left="0" w:right="0" w:hanging="0"/>
        <w:jc w:val="center"/>
        <w:rPr>
          <w:rFonts w:ascii="Times New Roman;Times;Serif" w:hAnsi="Times New Roman;Times;Serif"/>
          <w:b/>
          <w:i w:val="false"/>
          <w:caps w:val="false"/>
          <w:smallCaps w:val="false"/>
          <w:spacing w:val="0"/>
          <w:sz w:val="20"/>
        </w:rPr>
      </w:pPr>
      <w:r>
        <w:rPr>
          <w:rFonts w:ascii="Times New Roman;Times;Serif" w:hAnsi="Times New Roman;Times;Serif"/>
          <w:b/>
          <w:i w:val="false"/>
          <w:caps w:val="false"/>
          <w:smallCaps w:val="false"/>
          <w:spacing w:val="0"/>
          <w:sz w:val="20"/>
        </w:rPr>
        <w:t>SECURITIES AND EXCHANGE COMMISSION</w:t>
      </w:r>
    </w:p>
    <w:p>
      <w:pPr>
        <w:pStyle w:val="TextBody"/>
        <w:bidi w:val="0"/>
        <w:ind w:left="0" w:right="0" w:hanging="0"/>
        <w:jc w:val="center"/>
        <w:rPr>
          <w:rFonts w:ascii="Times New Roman;Times;Serif" w:hAnsi="Times New Roman;Times;Serif"/>
          <w:b/>
          <w:i w:val="false"/>
          <w:caps w:val="false"/>
          <w:smallCaps w:val="false"/>
          <w:spacing w:val="0"/>
          <w:sz w:val="20"/>
        </w:rPr>
      </w:pPr>
      <w:r>
        <w:rPr>
          <w:rFonts w:ascii="Times New Roman;Times;Serif" w:hAnsi="Times New Roman;Times;Serif"/>
          <w:b/>
          <w:i w:val="false"/>
          <w:caps w:val="false"/>
          <w:smallCaps w:val="false"/>
          <w:spacing w:val="0"/>
          <w:sz w:val="20"/>
        </w:rPr>
        <w:t>WASHINGTON, D.C. 20549</w:t>
      </w:r>
    </w:p>
    <w:p>
      <w:pPr>
        <w:pStyle w:val="TextBody"/>
        <w:bidi w:val="0"/>
        <w:ind w:left="0" w:right="0" w:hanging="0"/>
        <w:jc w:val="left"/>
        <w:rPr>
          <w:caps w:val="false"/>
          <w:smallCaps w:val="false"/>
          <w:spacing w:val="0"/>
        </w:rPr>
      </w:pPr>
      <w:r>
        <w:rPr>
          <w:caps w:val="false"/>
          <w:smallCaps w:val="false"/>
          <w:spacing w:val="0"/>
        </w:rPr>
        <w:t> </w:t>
      </w:r>
    </w:p>
    <w:p>
      <w:pPr>
        <w:pStyle w:val="TextBody"/>
        <w:bidi w:val="0"/>
        <w:ind w:left="0" w:right="0" w:hanging="0"/>
        <w:jc w:val="center"/>
        <w:rPr>
          <w:rFonts w:ascii="Times New Roman;Times;Serif" w:hAnsi="Times New Roman;Times;Serif"/>
          <w:b/>
          <w:i w:val="false"/>
          <w:caps w:val="false"/>
          <w:smallCaps w:val="false"/>
          <w:spacing w:val="0"/>
          <w:sz w:val="24"/>
        </w:rPr>
      </w:pPr>
      <w:r>
        <w:rPr>
          <w:rFonts w:ascii="Times New Roman;Times;Serif" w:hAnsi="Times New Roman;Times;Serif"/>
          <w:b/>
          <w:i w:val="false"/>
          <w:caps w:val="false"/>
          <w:smallCaps w:val="false"/>
          <w:spacing w:val="0"/>
          <w:sz w:val="24"/>
        </w:rPr>
        <w:t xml:space="preserve">FORM </w:t>
      </w:r>
      <w:bookmarkStart w:id="2" w:name="xdx_908_edei--DocumentType_c20250403__20"/>
      <w:bookmarkEnd w:id="2"/>
      <w:r>
        <w:rPr>
          <w:rFonts w:ascii="Times New Roman;Times;Serif" w:hAnsi="Times New Roman;Times;Serif"/>
          <w:b/>
          <w:i w:val="false"/>
          <w:caps w:val="false"/>
          <w:smallCaps w:val="false"/>
          <w:spacing w:val="0"/>
          <w:sz w:val="24"/>
        </w:rPr>
        <w:t>8-K</w:t>
      </w:r>
    </w:p>
    <w:p>
      <w:pPr>
        <w:pStyle w:val="TextBody"/>
        <w:bidi w:val="0"/>
        <w:ind w:left="0" w:right="0" w:hanging="0"/>
        <w:jc w:val="center"/>
        <w:rPr>
          <w:caps w:val="false"/>
          <w:smallCaps w:val="false"/>
          <w:spacing w:val="0"/>
        </w:rPr>
      </w:pPr>
      <w:r>
        <w:rPr>
          <w:caps w:val="false"/>
          <w:smallCaps w:val="false"/>
          <w:spacing w:val="0"/>
        </w:rPr>
        <w:t> </w:t>
      </w:r>
    </w:p>
    <w:p>
      <w:pPr>
        <w:pStyle w:val="TextBody"/>
        <w:bidi w:val="0"/>
        <w:ind w:left="0" w:right="0" w:hanging="0"/>
        <w:jc w:val="center"/>
        <w:rPr>
          <w:rFonts w:ascii="Times New Roman;Times;Serif" w:hAnsi="Times New Roman;Times;Serif"/>
          <w:b/>
          <w:i w:val="false"/>
          <w:caps w:val="false"/>
          <w:smallCaps w:val="false"/>
          <w:spacing w:val="0"/>
          <w:sz w:val="20"/>
        </w:rPr>
      </w:pPr>
      <w:r>
        <w:rPr>
          <w:rFonts w:ascii="Times New Roman;Times;Serif" w:hAnsi="Times New Roman;Times;Serif"/>
          <w:b/>
          <w:i w:val="false"/>
          <w:caps w:val="false"/>
          <w:smallCaps w:val="false"/>
          <w:spacing w:val="0"/>
          <w:sz w:val="20"/>
        </w:rPr>
        <w:t>CURRENT REPORT</w:t>
      </w:r>
    </w:p>
    <w:p>
      <w:pPr>
        <w:pStyle w:val="TextBody"/>
        <w:bidi w:val="0"/>
        <w:ind w:left="0" w:right="0" w:hanging="0"/>
        <w:jc w:val="center"/>
        <w:rPr>
          <w:rFonts w:ascii="Times New Roman;Times;Serif" w:hAnsi="Times New Roman;Times;Serif"/>
          <w:b/>
          <w:i w:val="false"/>
          <w:caps w:val="false"/>
          <w:smallCaps w:val="false"/>
          <w:spacing w:val="0"/>
          <w:sz w:val="20"/>
        </w:rPr>
      </w:pPr>
      <w:r>
        <w:rPr>
          <w:rFonts w:ascii="Times New Roman;Times;Serif" w:hAnsi="Times New Roman;Times;Serif"/>
          <w:b/>
          <w:i w:val="false"/>
          <w:caps w:val="false"/>
          <w:smallCaps w:val="false"/>
          <w:spacing w:val="0"/>
          <w:sz w:val="20"/>
        </w:rPr>
        <w:t>Pursuant to Section 13 or 15(d) of the Securities Exchange Act of 1934</w:t>
      </w:r>
    </w:p>
    <w:p>
      <w:pPr>
        <w:pStyle w:val="TextBody"/>
        <w:bidi w:val="0"/>
        <w:ind w:left="0" w:right="0" w:hanging="0"/>
        <w:jc w:val="center"/>
        <w:rPr>
          <w:caps w:val="false"/>
          <w:smallCaps w:val="false"/>
          <w:spacing w:val="0"/>
        </w:rPr>
      </w:pPr>
      <w:r>
        <w:rPr>
          <w:caps w:val="false"/>
          <w:smallCaps w:val="false"/>
          <w:spacing w:val="0"/>
        </w:rPr>
        <w:t> </w:t>
      </w:r>
    </w:p>
    <w:p>
      <w:pPr>
        <w:pStyle w:val="TextBody"/>
        <w:bidi w:val="0"/>
        <w:ind w:left="0" w:right="0" w:hanging="0"/>
        <w:jc w:val="center"/>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 xml:space="preserve">Date of Report (date of earliest event reported): </w:t>
      </w:r>
      <w:bookmarkStart w:id="3" w:name="xdx_901_edei--DocumentPeriodEndDate_c202"/>
      <w:bookmarkEnd w:id="3"/>
      <w:r>
        <w:rPr>
          <w:rFonts w:ascii="Times New Roman;Times;Serif" w:hAnsi="Times New Roman;Times;Serif"/>
          <w:b/>
          <w:i w:val="false"/>
          <w:caps w:val="false"/>
          <w:smallCaps w:val="false"/>
          <w:spacing w:val="0"/>
          <w:sz w:val="20"/>
        </w:rPr>
        <w:t>April 3, 2025</w:t>
      </w:r>
    </w:p>
    <w:p>
      <w:pPr>
        <w:pStyle w:val="TextBody"/>
        <w:bidi w:val="0"/>
        <w:ind w:left="0" w:right="0" w:hanging="0"/>
        <w:jc w:val="center"/>
        <w:rPr>
          <w:caps w:val="false"/>
          <w:smallCaps w:val="false"/>
          <w:spacing w:val="0"/>
        </w:rPr>
      </w:pPr>
      <w:r>
        <w:rPr>
          <w:caps w:val="false"/>
          <w:smallCaps w:val="false"/>
          <w:spacing w:val="0"/>
        </w:rPr>
        <w:t> </w:t>
      </w:r>
    </w:p>
    <w:p>
      <w:pPr>
        <w:pStyle w:val="TextBody"/>
        <w:bidi w:val="0"/>
        <w:ind w:left="0" w:right="0" w:hanging="0"/>
        <w:jc w:val="center"/>
        <w:rPr>
          <w:rFonts w:ascii="Times New Roman;Times;Serif" w:hAnsi="Times New Roman;Times;Serif"/>
          <w:b/>
          <w:i w:val="false"/>
          <w:caps w:val="false"/>
          <w:smallCaps w:val="false"/>
          <w:spacing w:val="0"/>
          <w:sz w:val="24"/>
          <w:u w:val="single"/>
        </w:rPr>
      </w:pPr>
      <w:bookmarkStart w:id="4" w:name="xdx_907_edei--EntityRegistrantName_c2025"/>
      <w:bookmarkEnd w:id="4"/>
      <w:r>
        <w:rPr>
          <w:rFonts w:ascii="Times New Roman;Times;Serif" w:hAnsi="Times New Roman;Times;Serif"/>
          <w:b/>
          <w:i w:val="false"/>
          <w:caps w:val="false"/>
          <w:smallCaps w:val="false"/>
          <w:spacing w:val="0"/>
          <w:sz w:val="24"/>
          <w:u w:val="single"/>
        </w:rPr>
        <w:t>NOCERA, INC.</w:t>
      </w:r>
    </w:p>
    <w:p>
      <w:pPr>
        <w:pStyle w:val="TextBody"/>
        <w:bidi w:val="0"/>
        <w:ind w:left="0" w:right="0" w:hanging="0"/>
        <w:jc w:val="center"/>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(Exact name of registrant as specified in charter)</w:t>
      </w:r>
    </w:p>
    <w:p>
      <w:pPr>
        <w:pStyle w:val="TextBody"/>
        <w:bidi w:val="0"/>
        <w:ind w:left="0" w:right="0" w:hanging="0"/>
        <w:jc w:val="left"/>
        <w:rPr>
          <w:caps w:val="false"/>
          <w:smallCaps w:val="false"/>
          <w:spacing w:val="0"/>
        </w:rPr>
      </w:pPr>
      <w:r>
        <w:rPr>
          <w:caps w:val="false"/>
          <w:smallCaps w:val="false"/>
          <w:spacing w:val="0"/>
        </w:rPr>
        <w:t> </w:t>
      </w:r>
    </w:p>
    <w:tbl>
      <w:tblPr>
        <w:tblW w:w="4920" w:type="dxa"/>
        <w:jc w:val="left"/>
        <w:tblInd w:w="0" w:type="dxa"/>
        <w:tblLayout w:type="fixed"/>
        <w:tblCellMar>
          <w:top w:w="0" w:type="dxa"/>
          <w:left w:w="0" w:type="dxa"/>
          <w:bottom w:w="28" w:type="dxa"/>
          <w:right w:w="0" w:type="dxa"/>
        </w:tblCellMar>
      </w:tblPr>
      <w:tblGrid>
        <w:gridCol w:w="2165"/>
        <w:gridCol w:w="60"/>
        <w:gridCol w:w="1100"/>
        <w:gridCol w:w="60"/>
        <w:gridCol w:w="1535"/>
      </w:tblGrid>
      <w:tr>
        <w:trPr/>
        <w:tc>
          <w:tcPr>
            <w:tcW w:w="2165" w:type="dxa"/>
            <w:tcBorders>
              <w:bottom w:val="single" w:sz="8" w:space="0" w:color="000000"/>
            </w:tcBorders>
            <w:vAlign w:val="center"/>
          </w:tcPr>
          <w:p>
            <w:pPr>
              <w:pStyle w:val="TableContents"/>
              <w:bidi w:val="0"/>
              <w:spacing w:before="0" w:after="283"/>
              <w:jc w:val="center"/>
              <w:rPr>
                <w:b/>
                <w:sz w:val="20"/>
              </w:rPr>
            </w:pPr>
            <w:bookmarkStart w:id="5" w:name="xdx_900_edei--EntityIncorporationStateCo"/>
            <w:bookmarkEnd w:id="5"/>
            <w:r>
              <w:rPr>
                <w:b/>
                <w:sz w:val="20"/>
              </w:rPr>
              <w:t>Nevada</w:t>
            </w:r>
          </w:p>
        </w:tc>
        <w:tc>
          <w:tcPr>
            <w:tcW w:w="60" w:type="dxa"/>
            <w:tcBorders/>
            <w:tcMar>
              <w:bottom w:w="0" w:type="dxa"/>
            </w:tcMar>
            <w:vAlign w:val="center"/>
          </w:tcPr>
          <w:p>
            <w:pPr>
              <w:pStyle w:val="TableContents"/>
              <w:bidi w:val="0"/>
              <w:spacing w:before="0" w:after="283"/>
              <w:ind w:left="0" w:right="0" w:hanging="0"/>
              <w:jc w:val="left"/>
              <w:rPr/>
            </w:pPr>
            <w:r>
              <w:rPr/>
              <w:t> </w:t>
            </w:r>
          </w:p>
        </w:tc>
        <w:tc>
          <w:tcPr>
            <w:tcW w:w="1100" w:type="dxa"/>
            <w:tcBorders>
              <w:bottom w:val="single" w:sz="8" w:space="0" w:color="000000"/>
            </w:tcBorders>
            <w:vAlign w:val="center"/>
          </w:tcPr>
          <w:p>
            <w:pPr>
              <w:pStyle w:val="TableContents"/>
              <w:bidi w:val="0"/>
              <w:spacing w:before="0" w:after="283"/>
              <w:ind w:left="0" w:right="0" w:hanging="0"/>
              <w:jc w:val="center"/>
              <w:rPr>
                <w:b/>
                <w:spacing w:val="0"/>
                <w:sz w:val="20"/>
              </w:rPr>
            </w:pPr>
            <w:bookmarkStart w:id="6" w:name="xdx_907_edei--EntityFileNumber_c20250403"/>
            <w:bookmarkEnd w:id="6"/>
            <w:r>
              <w:rPr>
                <w:b/>
                <w:spacing w:val="0"/>
                <w:sz w:val="20"/>
              </w:rPr>
              <w:t>001-41434</w:t>
            </w:r>
          </w:p>
        </w:tc>
        <w:tc>
          <w:tcPr>
            <w:tcW w:w="60" w:type="dxa"/>
            <w:tcBorders/>
            <w:tcMar>
              <w:bottom w:w="0" w:type="dxa"/>
            </w:tcMar>
            <w:vAlign w:val="center"/>
          </w:tcPr>
          <w:p>
            <w:pPr>
              <w:pStyle w:val="TableContents"/>
              <w:bidi w:val="0"/>
              <w:spacing w:before="0" w:after="283"/>
              <w:ind w:left="0" w:right="0" w:hanging="0"/>
              <w:jc w:val="center"/>
              <w:rPr>
                <w:spacing w:val="0"/>
              </w:rPr>
            </w:pPr>
            <w:r>
              <w:rPr>
                <w:spacing w:val="0"/>
              </w:rPr>
              <w:t> </w:t>
            </w:r>
          </w:p>
        </w:tc>
        <w:tc>
          <w:tcPr>
            <w:tcW w:w="1535" w:type="dxa"/>
            <w:tcBorders>
              <w:bottom w:val="single" w:sz="8" w:space="0" w:color="000000"/>
            </w:tcBorders>
            <w:vAlign w:val="center"/>
          </w:tcPr>
          <w:p>
            <w:pPr>
              <w:pStyle w:val="TableContents"/>
              <w:bidi w:val="0"/>
              <w:spacing w:before="0" w:after="283"/>
              <w:jc w:val="center"/>
              <w:rPr>
                <w:b/>
                <w:spacing w:val="0"/>
                <w:sz w:val="20"/>
              </w:rPr>
            </w:pPr>
            <w:bookmarkStart w:id="7" w:name="xdx_90D_edei--EntityTaxIdentificationNum"/>
            <w:bookmarkEnd w:id="7"/>
            <w:r>
              <w:rPr>
                <w:b/>
                <w:spacing w:val="0"/>
                <w:sz w:val="20"/>
              </w:rPr>
              <w:t>16-1626611</w:t>
            </w:r>
          </w:p>
        </w:tc>
      </w:tr>
      <w:tr>
        <w:trPr/>
        <w:tc>
          <w:tcPr>
            <w:tcW w:w="2165" w:type="dxa"/>
            <w:tcBorders/>
            <w:tcMar>
              <w:bottom w:w="0" w:type="dxa"/>
            </w:tcMar>
            <w:vAlign w:val="center"/>
          </w:tcPr>
          <w:p>
            <w:pPr>
              <w:pStyle w:val="TableContents"/>
              <w:bidi w:val="0"/>
              <w:jc w:val="center"/>
              <w:rPr>
                <w:sz w:val="20"/>
              </w:rPr>
            </w:pPr>
            <w:r>
              <w:rPr>
                <w:sz w:val="20"/>
              </w:rPr>
              <w:t>(State or other jurisdiction</w:t>
            </w:r>
          </w:p>
          <w:p>
            <w:pPr>
              <w:pStyle w:val="TableContents"/>
              <w:bidi w:val="0"/>
              <w:spacing w:before="0" w:after="283"/>
              <w:jc w:val="center"/>
              <w:rPr>
                <w:sz w:val="20"/>
              </w:rPr>
            </w:pPr>
            <w:r>
              <w:rPr>
                <w:sz w:val="20"/>
              </w:rPr>
              <w:t>of incorporation)</w:t>
            </w:r>
          </w:p>
        </w:tc>
        <w:tc>
          <w:tcPr>
            <w:tcW w:w="60" w:type="dxa"/>
            <w:tcBorders/>
            <w:tcMar>
              <w:bottom w:w="0" w:type="dxa"/>
            </w:tcMar>
            <w:vAlign w:val="center"/>
          </w:tcPr>
          <w:p>
            <w:pPr>
              <w:pStyle w:val="TableContents"/>
              <w:bidi w:val="0"/>
              <w:spacing w:before="0" w:after="283"/>
              <w:ind w:left="0" w:right="0" w:hanging="0"/>
              <w:jc w:val="left"/>
              <w:rPr/>
            </w:pPr>
            <w:r>
              <w:rPr/>
              <w:t> </w:t>
            </w:r>
          </w:p>
        </w:tc>
        <w:tc>
          <w:tcPr>
            <w:tcW w:w="1100" w:type="dxa"/>
            <w:tcBorders/>
            <w:tcMar>
              <w:bottom w:w="0" w:type="dxa"/>
            </w:tcMar>
            <w:vAlign w:val="center"/>
          </w:tcPr>
          <w:p>
            <w:pPr>
              <w:pStyle w:val="TableContents"/>
              <w:bidi w:val="0"/>
              <w:jc w:val="center"/>
              <w:rPr>
                <w:spacing w:val="0"/>
                <w:sz w:val="20"/>
              </w:rPr>
            </w:pPr>
            <w:r>
              <w:rPr>
                <w:spacing w:val="0"/>
                <w:sz w:val="20"/>
              </w:rPr>
              <w:t>(Commission</w:t>
            </w:r>
          </w:p>
          <w:p>
            <w:pPr>
              <w:pStyle w:val="TableContents"/>
              <w:bidi w:val="0"/>
              <w:spacing w:before="0" w:after="283"/>
              <w:ind w:left="0" w:right="0" w:hanging="0"/>
              <w:jc w:val="center"/>
              <w:rPr>
                <w:spacing w:val="0"/>
                <w:sz w:val="20"/>
              </w:rPr>
            </w:pPr>
            <w:r>
              <w:rPr>
                <w:spacing w:val="0"/>
                <w:sz w:val="20"/>
              </w:rPr>
              <w:t>File Number)</w:t>
            </w:r>
          </w:p>
        </w:tc>
        <w:tc>
          <w:tcPr>
            <w:tcW w:w="60" w:type="dxa"/>
            <w:tcBorders/>
            <w:tcMar>
              <w:bottom w:w="0" w:type="dxa"/>
            </w:tcMar>
            <w:vAlign w:val="center"/>
          </w:tcPr>
          <w:p>
            <w:pPr>
              <w:pStyle w:val="TableContents"/>
              <w:bidi w:val="0"/>
              <w:spacing w:before="0" w:after="283"/>
              <w:ind w:left="0" w:right="0" w:hanging="0"/>
              <w:jc w:val="center"/>
              <w:rPr>
                <w:spacing w:val="0"/>
              </w:rPr>
            </w:pPr>
            <w:r>
              <w:rPr>
                <w:spacing w:val="0"/>
              </w:rPr>
              <w:t> </w:t>
            </w:r>
          </w:p>
        </w:tc>
        <w:tc>
          <w:tcPr>
            <w:tcW w:w="1535" w:type="dxa"/>
            <w:tcBorders/>
            <w:tcMar>
              <w:bottom w:w="0" w:type="dxa"/>
            </w:tcMar>
            <w:vAlign w:val="center"/>
          </w:tcPr>
          <w:p>
            <w:pPr>
              <w:pStyle w:val="TableContents"/>
              <w:bidi w:val="0"/>
              <w:jc w:val="center"/>
              <w:rPr>
                <w:spacing w:val="0"/>
                <w:sz w:val="20"/>
              </w:rPr>
            </w:pPr>
            <w:r>
              <w:rPr>
                <w:spacing w:val="0"/>
                <w:sz w:val="20"/>
              </w:rPr>
              <w:t>(IRS Employer</w:t>
            </w:r>
          </w:p>
          <w:p>
            <w:pPr>
              <w:pStyle w:val="TableContents"/>
              <w:bidi w:val="0"/>
              <w:spacing w:before="0" w:after="283"/>
              <w:jc w:val="center"/>
              <w:rPr>
                <w:spacing w:val="0"/>
                <w:sz w:val="20"/>
              </w:rPr>
            </w:pPr>
            <w:r>
              <w:rPr>
                <w:spacing w:val="0"/>
                <w:sz w:val="20"/>
              </w:rPr>
              <w:t>Identification No.)</w:t>
            </w:r>
          </w:p>
        </w:tc>
      </w:tr>
    </w:tbl>
    <w:p>
      <w:pPr>
        <w:pStyle w:val="TextBody"/>
        <w:bidi w:val="0"/>
        <w:ind w:left="0" w:right="0" w:hanging="0"/>
        <w:jc w:val="left"/>
        <w:rPr>
          <w:caps w:val="false"/>
          <w:smallCaps w:val="false"/>
          <w:color w:val="FFFFFF"/>
          <w:spacing w:val="0"/>
        </w:rPr>
      </w:pPr>
      <w:r>
        <w:rPr>
          <w:caps w:val="false"/>
          <w:smallCaps w:val="false"/>
          <w:color w:val="FFFFFF"/>
          <w:spacing w:val="0"/>
        </w:rPr>
        <w:t> </w:t>
      </w:r>
    </w:p>
    <w:p>
      <w:pPr>
        <w:pStyle w:val="TextBody"/>
        <w:bidi w:val="0"/>
        <w:ind w:left="0" w:right="0" w:hanging="0"/>
        <w:jc w:val="center"/>
        <w:rPr>
          <w:rFonts w:ascii="Times New Roman;Times;Serif" w:hAnsi="Times New Roman;Times;Serif"/>
          <w:b w:val="false"/>
          <w:i w:val="false"/>
          <w:caps w:val="false"/>
          <w:smallCaps w:val="false"/>
          <w:spacing w:val="0"/>
          <w:sz w:val="20"/>
        </w:rPr>
      </w:pPr>
      <w:bookmarkStart w:id="8" w:name="xdx_904_edei--EntityAddressAddressLine1_"/>
      <w:bookmarkEnd w:id="8"/>
      <w:r>
        <w:rPr>
          <w:rFonts w:ascii="Times New Roman;Times;Serif" w:hAnsi="Times New Roman;Times;Serif"/>
          <w:b/>
          <w:i w:val="false"/>
          <w:caps w:val="false"/>
          <w:smallCaps w:val="false"/>
          <w:spacing w:val="0"/>
          <w:sz w:val="20"/>
          <w:u w:val="single"/>
        </w:rPr>
        <w:t>3F (Building B), No. 185, Sec. 1, Datong Rd.,</w:t>
      </w:r>
      <w:r>
        <w:rPr>
          <w:rFonts w:ascii="Times New Roman;Times;Serif" w:hAnsi="Times New Roman;Times;Serif"/>
          <w:b w:val="false"/>
          <w:i w:val="false"/>
          <w:caps w:val="false"/>
          <w:smallCaps w:val="false"/>
          <w:spacing w:val="0"/>
          <w:sz w:val="20"/>
          <w:u w:val="single"/>
        </w:rPr>
        <w:t xml:space="preserve"> </w:t>
      </w:r>
      <w:bookmarkStart w:id="9" w:name="xdx_901_edei--EntityAddressAddressLine2_"/>
      <w:bookmarkEnd w:id="9"/>
      <w:r>
        <w:rPr>
          <w:rFonts w:ascii="Times New Roman;Times;Serif" w:hAnsi="Times New Roman;Times;Serif"/>
          <w:b/>
          <w:i w:val="false"/>
          <w:caps w:val="false"/>
          <w:smallCaps w:val="false"/>
          <w:spacing w:val="0"/>
          <w:sz w:val="20"/>
          <w:u w:val="single"/>
        </w:rPr>
        <w:t xml:space="preserve">Xizhi Dist., </w:t>
      </w:r>
      <w:bookmarkStart w:id="10" w:name="xdx_906_edei--EntityAddressCityOrTown_c2"/>
      <w:bookmarkEnd w:id="10"/>
      <w:r>
        <w:rPr>
          <w:rFonts w:ascii="Times New Roman;Times;Serif" w:hAnsi="Times New Roman;Times;Serif"/>
          <w:b/>
          <w:i w:val="false"/>
          <w:caps w:val="false"/>
          <w:smallCaps w:val="false"/>
          <w:spacing w:val="0"/>
          <w:sz w:val="20"/>
          <w:u w:val="single"/>
        </w:rPr>
        <w:t xml:space="preserve">New Taipei City </w:t>
      </w:r>
      <w:bookmarkStart w:id="11" w:name="xdx_906_edei--EntityAddressCountry_dxL_c"/>
      <w:bookmarkEnd w:id="11"/>
      <w:r>
        <w:rPr>
          <w:rFonts w:ascii="Times New Roman;Times;Serif" w:hAnsi="Times New Roman;Times;Serif"/>
          <w:b/>
          <w:i w:val="false"/>
          <w:caps w:val="false"/>
          <w:smallCaps w:val="false"/>
          <w:spacing w:val="0"/>
          <w:sz w:val="20"/>
          <w:u w:val="single"/>
        </w:rPr>
        <w:t xml:space="preserve">Taiwan </w:t>
      </w:r>
      <w:bookmarkStart w:id="12" w:name="xdx_90B_edei--EntityAddressPostalZipCode"/>
      <w:bookmarkEnd w:id="12"/>
      <w:r>
        <w:rPr>
          <w:rFonts w:ascii="Times New Roman;Times;Serif" w:hAnsi="Times New Roman;Times;Serif"/>
          <w:b/>
          <w:i w:val="false"/>
          <w:caps w:val="false"/>
          <w:smallCaps w:val="false"/>
          <w:spacing w:val="0"/>
          <w:sz w:val="20"/>
          <w:u w:val="single"/>
        </w:rPr>
        <w:t>221, ROC</w:t>
      </w:r>
    </w:p>
    <w:p>
      <w:pPr>
        <w:pStyle w:val="TextBody"/>
        <w:bidi w:val="0"/>
        <w:ind w:left="0" w:right="0" w:hanging="0"/>
        <w:jc w:val="center"/>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(Address of principal executive offices and zip code)</w:t>
      </w:r>
    </w:p>
    <w:p>
      <w:pPr>
        <w:pStyle w:val="TextBody"/>
        <w:bidi w:val="0"/>
        <w:ind w:left="0" w:right="0" w:hanging="0"/>
        <w:jc w:val="center"/>
        <w:rPr>
          <w:caps w:val="false"/>
          <w:smallCaps w:val="false"/>
          <w:spacing w:val="0"/>
        </w:rPr>
      </w:pPr>
      <w:r>
        <w:rPr>
          <w:caps w:val="false"/>
          <w:smallCaps w:val="false"/>
          <w:spacing w:val="0"/>
        </w:rPr>
        <w:t> </w:t>
      </w:r>
    </w:p>
    <w:p>
      <w:pPr>
        <w:pStyle w:val="TextBody"/>
        <w:bidi w:val="0"/>
        <w:ind w:left="0" w:right="0" w:hanging="0"/>
        <w:jc w:val="center"/>
        <w:rPr>
          <w:rFonts w:ascii="Times New Roman;Times;Serif" w:hAnsi="Times New Roman;Times;Serif"/>
          <w:b w:val="false"/>
          <w:i w:val="false"/>
          <w:caps w:val="false"/>
          <w:smallCaps w:val="false"/>
          <w:spacing w:val="0"/>
          <w:sz w:val="20"/>
        </w:rPr>
      </w:pPr>
      <w:bookmarkStart w:id="13" w:name="xdx_902_edei--CityAreaCode_c20250403__20"/>
      <w:bookmarkEnd w:id="13"/>
      <w:r>
        <w:rPr>
          <w:rFonts w:ascii="Times New Roman;Times;Serif" w:hAnsi="Times New Roman;Times;Serif"/>
          <w:b/>
          <w:i w:val="false"/>
          <w:caps w:val="false"/>
          <w:smallCaps w:val="false"/>
          <w:spacing w:val="0"/>
          <w:sz w:val="20"/>
          <w:u w:val="single"/>
        </w:rPr>
        <w:t xml:space="preserve">(886) </w:t>
      </w:r>
      <w:bookmarkStart w:id="14" w:name="xdx_90D_edei--LocalPhoneNumber_c20250403"/>
      <w:bookmarkEnd w:id="14"/>
      <w:r>
        <w:rPr>
          <w:rFonts w:ascii="Times New Roman;Times;Serif" w:hAnsi="Times New Roman;Times;Serif"/>
          <w:b/>
          <w:i w:val="false"/>
          <w:caps w:val="false"/>
          <w:smallCaps w:val="false"/>
          <w:spacing w:val="0"/>
          <w:sz w:val="20"/>
          <w:u w:val="single"/>
        </w:rPr>
        <w:t>910-163-358</w:t>
      </w:r>
    </w:p>
    <w:p>
      <w:pPr>
        <w:pStyle w:val="TextBody"/>
        <w:bidi w:val="0"/>
        <w:ind w:left="0" w:right="0" w:hanging="0"/>
        <w:jc w:val="center"/>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(Registrant’s telephone number, including area code)</w:t>
      </w:r>
    </w:p>
    <w:p>
      <w:pPr>
        <w:pStyle w:val="TextBody"/>
        <w:bidi w:val="0"/>
        <w:ind w:left="0" w:right="0" w:hanging="0"/>
        <w:jc w:val="left"/>
        <w:rPr>
          <w:caps w:val="false"/>
          <w:smallCaps w:val="false"/>
          <w:spacing w:val="0"/>
        </w:rPr>
      </w:pPr>
      <w:r>
        <w:rPr>
          <w:caps w:val="false"/>
          <w:smallCaps w:val="false"/>
          <w:spacing w:val="0"/>
        </w:rPr>
        <w:t> </w:t>
      </w:r>
    </w:p>
    <w:p>
      <w:pPr>
        <w:pStyle w:val="TextBody"/>
        <w:bidi w:val="0"/>
        <w:spacing w:before="0" w:after="0"/>
        <w:ind w:left="0" w:right="0" w:hanging="0"/>
        <w:jc w:val="center"/>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Not Applicable</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(Former name or former address, if changed since last report)</w:t>
      </w:r>
    </w:p>
    <w:p>
      <w:pPr>
        <w:pStyle w:val="TextBody"/>
        <w:bidi w:val="0"/>
        <w:ind w:left="0" w:right="0" w:hanging="0"/>
        <w:jc w:val="left"/>
        <w:rPr>
          <w:caps w:val="false"/>
          <w:smallCaps w:val="false"/>
          <w:spacing w:val="0"/>
        </w:rPr>
      </w:pPr>
      <w:r>
        <w:rPr>
          <w:caps w:val="false"/>
          <w:smallCaps w:val="false"/>
          <w:spacing w:val="0"/>
        </w:rPr>
        <w:t> </w:t>
      </w:r>
    </w:p>
    <w:p>
      <w:pPr>
        <w:pStyle w:val="TextBody"/>
        <w:bidi w:val="0"/>
        <w:ind w:left="0" w:right="0" w:hanging="0"/>
        <w:jc w:val="both"/>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Check the appropriate box below if the Form 8-K filing is intended to simultaneously satisfy the filing obligation of registrant under any of the following provisions:</w:t>
      </w:r>
    </w:p>
    <w:p>
      <w:pPr>
        <w:pStyle w:val="TextBody"/>
        <w:bidi w:val="0"/>
        <w:ind w:left="0" w:right="0" w:hanging="0"/>
        <w:jc w:val="left"/>
        <w:rPr>
          <w:caps w:val="false"/>
          <w:smallCaps w:val="false"/>
          <w:spacing w:val="0"/>
        </w:rPr>
      </w:pPr>
      <w:r>
        <w:rPr>
          <w:caps w:val="false"/>
          <w:smallCaps w:val="false"/>
          <w:spacing w:val="0"/>
        </w:rPr>
        <w:t> </w:t>
      </w:r>
    </w:p>
    <w:p>
      <w:pPr>
        <w:pStyle w:val="TextBody"/>
        <w:bidi w:val="0"/>
        <w:ind w:left="0" w:right="0" w:hanging="0"/>
        <w:jc w:val="left"/>
        <w:rPr>
          <w:caps w:val="false"/>
          <w:smallCaps w:val="false"/>
          <w:spacing w:val="0"/>
        </w:rPr>
      </w:pPr>
      <w:bookmarkStart w:id="15" w:name="xdx_901_edei--WrittenCommunications_c202"/>
      <w:bookmarkEnd w:id="15"/>
      <w:r>
        <w:rPr>
          <w:caps w:val="false"/>
          <w:smallCaps w:val="false"/>
          <w:spacing w:val="0"/>
        </w:rPr>
        <w:t xml:space="preserve">☐ </w:t>
      </w:r>
      <w:r>
        <w:rPr>
          <w:rFonts w:ascii="Times New Roman;Times;Serif" w:hAnsi="Times New Roman;Times;Serif"/>
          <w:b w:val="false"/>
          <w:i w:val="false"/>
          <w:caps w:val="false"/>
          <w:smallCaps w:val="false"/>
          <w:spacing w:val="0"/>
          <w:sz w:val="20"/>
        </w:rPr>
        <w:t>Written communications pursuant to Rule 425 under the Securities Act (17 CFR 230.425)</w:t>
      </w:r>
    </w:p>
    <w:p>
      <w:pPr>
        <w:pStyle w:val="TextBody"/>
        <w:bidi w:val="0"/>
        <w:ind w:left="0" w:right="0" w:hanging="0"/>
        <w:jc w:val="left"/>
        <w:rPr>
          <w:caps w:val="false"/>
          <w:smallCaps w:val="false"/>
          <w:spacing w:val="0"/>
        </w:rPr>
      </w:pPr>
      <w:r>
        <w:rPr>
          <w:caps w:val="false"/>
          <w:smallCaps w:val="false"/>
          <w:spacing w:val="0"/>
        </w:rPr>
        <w:t> </w:t>
      </w:r>
    </w:p>
    <w:p>
      <w:pPr>
        <w:pStyle w:val="TextBody"/>
        <w:bidi w:val="0"/>
        <w:ind w:left="0" w:right="0" w:hanging="0"/>
        <w:jc w:val="left"/>
        <w:rPr>
          <w:caps w:val="false"/>
          <w:smallCaps w:val="false"/>
          <w:spacing w:val="0"/>
        </w:rPr>
      </w:pPr>
      <w:bookmarkStart w:id="16" w:name="xdx_900_edei--SolicitingMaterial_c202504"/>
      <w:bookmarkEnd w:id="16"/>
      <w:r>
        <w:rPr>
          <w:caps w:val="false"/>
          <w:smallCaps w:val="false"/>
          <w:spacing w:val="0"/>
        </w:rPr>
        <w:t xml:space="preserve">☐ </w:t>
      </w:r>
      <w:r>
        <w:rPr>
          <w:rFonts w:ascii="Times New Roman;Times;Serif" w:hAnsi="Times New Roman;Times;Serif"/>
          <w:b w:val="false"/>
          <w:i w:val="false"/>
          <w:caps w:val="false"/>
          <w:smallCaps w:val="false"/>
          <w:spacing w:val="0"/>
          <w:sz w:val="20"/>
        </w:rPr>
        <w:t>Soliciting material pursuant to Rule 14a-12 under the Exchange Act (17 CFR 240.14a-12)</w:t>
      </w:r>
    </w:p>
    <w:p>
      <w:pPr>
        <w:pStyle w:val="TextBody"/>
        <w:bidi w:val="0"/>
        <w:ind w:left="0" w:right="0" w:hanging="0"/>
        <w:jc w:val="left"/>
        <w:rPr>
          <w:caps w:val="false"/>
          <w:smallCaps w:val="false"/>
          <w:spacing w:val="0"/>
        </w:rPr>
      </w:pPr>
      <w:r>
        <w:rPr>
          <w:caps w:val="false"/>
          <w:smallCaps w:val="false"/>
          <w:spacing w:val="0"/>
        </w:rPr>
        <w:t> </w:t>
      </w:r>
    </w:p>
    <w:p>
      <w:pPr>
        <w:pStyle w:val="TextBody"/>
        <w:bidi w:val="0"/>
        <w:ind w:left="0" w:right="0" w:hanging="0"/>
        <w:jc w:val="left"/>
        <w:rPr>
          <w:caps w:val="false"/>
          <w:smallCaps w:val="false"/>
          <w:spacing w:val="0"/>
        </w:rPr>
      </w:pPr>
      <w:bookmarkStart w:id="17" w:name="xdx_904_edei--PreCommencementTenderOffer"/>
      <w:bookmarkEnd w:id="17"/>
      <w:r>
        <w:rPr>
          <w:caps w:val="false"/>
          <w:smallCaps w:val="false"/>
          <w:spacing w:val="0"/>
        </w:rPr>
        <w:t xml:space="preserve">☐ </w:t>
      </w:r>
      <w:r>
        <w:rPr>
          <w:rFonts w:ascii="Times New Roman;Times;Serif" w:hAnsi="Times New Roman;Times;Serif"/>
          <w:b w:val="false"/>
          <w:i w:val="false"/>
          <w:caps w:val="false"/>
          <w:smallCaps w:val="false"/>
          <w:spacing w:val="0"/>
          <w:sz w:val="20"/>
        </w:rPr>
        <w:t>Pre-commencement communications pursuant to Rule 14d-2(b) under the Exchange Act (17 CFR 240.14d-2(b))</w:t>
      </w:r>
    </w:p>
    <w:p>
      <w:pPr>
        <w:pStyle w:val="TextBody"/>
        <w:bidi w:val="0"/>
        <w:ind w:left="0" w:right="0" w:hanging="0"/>
        <w:jc w:val="left"/>
        <w:rPr>
          <w:caps w:val="false"/>
          <w:smallCaps w:val="false"/>
          <w:spacing w:val="0"/>
        </w:rPr>
      </w:pPr>
      <w:r>
        <w:rPr>
          <w:caps w:val="false"/>
          <w:smallCaps w:val="false"/>
          <w:spacing w:val="0"/>
        </w:rPr>
        <w:t> </w:t>
      </w:r>
    </w:p>
    <w:p>
      <w:pPr>
        <w:pStyle w:val="TextBody"/>
        <w:bidi w:val="0"/>
        <w:ind w:left="0" w:right="0" w:hanging="0"/>
        <w:jc w:val="left"/>
        <w:rPr>
          <w:caps w:val="false"/>
          <w:smallCaps w:val="false"/>
          <w:spacing w:val="0"/>
        </w:rPr>
      </w:pPr>
      <w:bookmarkStart w:id="18" w:name="xdx_90E_edei--PreCommencementIssuerTende"/>
      <w:bookmarkEnd w:id="18"/>
      <w:r>
        <w:rPr>
          <w:caps w:val="false"/>
          <w:smallCaps w:val="false"/>
          <w:spacing w:val="0"/>
        </w:rPr>
        <w:t xml:space="preserve">☐ </w:t>
      </w:r>
      <w:r>
        <w:rPr>
          <w:rFonts w:ascii="Times New Roman;Times;Serif" w:hAnsi="Times New Roman;Times;Serif"/>
          <w:b w:val="false"/>
          <w:i w:val="false"/>
          <w:caps w:val="false"/>
          <w:smallCaps w:val="false"/>
          <w:spacing w:val="0"/>
          <w:sz w:val="20"/>
        </w:rPr>
        <w:t>Pre-commencement communications pursuant to Rule 13e-4(c) under the Exchange Act (17 CFR 240.13e-4(c))</w:t>
      </w:r>
    </w:p>
    <w:p>
      <w:pPr>
        <w:pStyle w:val="TextBody"/>
        <w:bidi w:val="0"/>
        <w:ind w:left="0" w:right="0" w:hanging="0"/>
        <w:jc w:val="left"/>
        <w:rPr>
          <w:caps w:val="false"/>
          <w:smallCaps w:val="false"/>
          <w:spacing w:val="0"/>
        </w:rPr>
      </w:pPr>
      <w:r>
        <w:rPr>
          <w:caps w:val="false"/>
          <w:smallCaps w:val="false"/>
          <w:spacing w:val="0"/>
        </w:rPr>
        <w:t> </w:t>
      </w:r>
    </w:p>
    <w:p>
      <w:pPr>
        <w:pStyle w:val="TextBody"/>
        <w:bidi w:val="0"/>
        <w:ind w:left="0" w:right="0" w:hanging="0"/>
        <w:jc w:val="left"/>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Securities registered pursuant to Section 12(b) of the Act: None </w:t>
      </w:r>
    </w:p>
    <w:p>
      <w:pPr>
        <w:pStyle w:val="TextBody"/>
        <w:bidi w:val="0"/>
        <w:ind w:left="0" w:right="0" w:hanging="0"/>
        <w:jc w:val="left"/>
        <w:rPr>
          <w:caps w:val="false"/>
          <w:smallCaps w:val="false"/>
          <w:spacing w:val="0"/>
        </w:rPr>
      </w:pPr>
      <w:r>
        <w:rPr>
          <w:caps w:val="false"/>
          <w:smallCaps w:val="false"/>
          <w:spacing w:val="0"/>
        </w:rPr>
        <w:t> </w:t>
      </w:r>
    </w:p>
    <w:tbl>
      <w:tblPr>
        <w:tblW w:w="8640" w:type="dxa"/>
        <w:jc w:val="left"/>
        <w:tblInd w:w="0" w:type="dxa"/>
        <w:tblLayout w:type="fixed"/>
        <w:tblCellMar>
          <w:top w:w="0" w:type="dxa"/>
          <w:left w:w="0" w:type="dxa"/>
          <w:bottom w:w="28" w:type="dxa"/>
          <w:right w:w="0" w:type="dxa"/>
        </w:tblCellMar>
      </w:tblPr>
      <w:tblGrid>
        <w:gridCol w:w="3515"/>
        <w:gridCol w:w="1415"/>
        <w:gridCol w:w="3710"/>
      </w:tblGrid>
      <w:tr>
        <w:trPr/>
        <w:tc>
          <w:tcPr>
            <w:tcW w:w="3515" w:type="dxa"/>
            <w:tcBorders>
              <w:bottom w:val="single" w:sz="8" w:space="0" w:color="000000"/>
            </w:tcBorders>
            <w:vAlign w:val="center"/>
          </w:tcPr>
          <w:p>
            <w:pPr>
              <w:pStyle w:val="TableContents"/>
              <w:bidi w:val="0"/>
              <w:spacing w:before="0" w:after="283"/>
              <w:ind w:left="0" w:right="0" w:hanging="0"/>
              <w:jc w:val="center"/>
              <w:rPr>
                <w:b/>
                <w:spacing w:val="0"/>
                <w:sz w:val="20"/>
              </w:rPr>
            </w:pPr>
            <w:r>
              <w:rPr>
                <w:b/>
                <w:spacing w:val="0"/>
                <w:sz w:val="20"/>
              </w:rPr>
              <w:t>Title of each class</w:t>
            </w:r>
          </w:p>
        </w:tc>
        <w:tc>
          <w:tcPr>
            <w:tcW w:w="1415" w:type="dxa"/>
            <w:tcBorders>
              <w:bottom w:val="single" w:sz="8" w:space="0" w:color="000000"/>
            </w:tcBorders>
            <w:vAlign w:val="center"/>
          </w:tcPr>
          <w:p>
            <w:pPr>
              <w:pStyle w:val="TableContents"/>
              <w:bidi w:val="0"/>
              <w:spacing w:before="0" w:after="283"/>
              <w:ind w:left="0" w:right="0" w:hanging="0"/>
              <w:jc w:val="center"/>
              <w:rPr>
                <w:b/>
                <w:spacing w:val="0"/>
                <w:sz w:val="20"/>
              </w:rPr>
            </w:pPr>
            <w:r>
              <w:rPr>
                <w:b/>
                <w:spacing w:val="0"/>
                <w:sz w:val="20"/>
              </w:rPr>
              <w:t>Trading Symbol</w:t>
            </w:r>
          </w:p>
        </w:tc>
        <w:tc>
          <w:tcPr>
            <w:tcW w:w="3710" w:type="dxa"/>
            <w:tcBorders>
              <w:bottom w:val="single" w:sz="8" w:space="0" w:color="000000"/>
            </w:tcBorders>
            <w:vAlign w:val="center"/>
          </w:tcPr>
          <w:p>
            <w:pPr>
              <w:pStyle w:val="TableContents"/>
              <w:bidi w:val="0"/>
              <w:spacing w:before="0" w:after="283"/>
              <w:ind w:left="0" w:right="0" w:hanging="0"/>
              <w:jc w:val="center"/>
              <w:rPr>
                <w:b/>
                <w:spacing w:val="0"/>
                <w:sz w:val="20"/>
              </w:rPr>
            </w:pPr>
            <w:r>
              <w:rPr>
                <w:b/>
                <w:spacing w:val="0"/>
                <w:sz w:val="20"/>
              </w:rPr>
              <w:t>Name of each exchange on which registered</w:t>
            </w:r>
          </w:p>
        </w:tc>
      </w:tr>
      <w:tr>
        <w:trPr/>
        <w:tc>
          <w:tcPr>
            <w:tcW w:w="3515" w:type="dxa"/>
            <w:tcBorders/>
            <w:tcMar>
              <w:bottom w:w="0" w:type="dxa"/>
            </w:tcMar>
            <w:vAlign w:val="center"/>
          </w:tcPr>
          <w:p>
            <w:pPr>
              <w:pStyle w:val="TableContents"/>
              <w:bidi w:val="0"/>
              <w:spacing w:before="0" w:after="283"/>
              <w:ind w:left="0" w:right="0" w:hanging="0"/>
              <w:jc w:val="center"/>
              <w:rPr>
                <w:spacing w:val="0"/>
                <w:sz w:val="20"/>
              </w:rPr>
            </w:pPr>
            <w:bookmarkStart w:id="19" w:name="xdx_907_edei--Security12bTitle_c20250403"/>
            <w:bookmarkEnd w:id="19"/>
            <w:r>
              <w:rPr>
                <w:spacing w:val="0"/>
                <w:sz w:val="20"/>
              </w:rPr>
              <w:t>Common Stock, par value $0.001 per share</w:t>
            </w:r>
          </w:p>
        </w:tc>
        <w:tc>
          <w:tcPr>
            <w:tcW w:w="1415" w:type="dxa"/>
            <w:tcBorders/>
            <w:tcMar>
              <w:bottom w:w="0" w:type="dxa"/>
            </w:tcMar>
            <w:vAlign w:val="center"/>
          </w:tcPr>
          <w:p>
            <w:pPr>
              <w:pStyle w:val="TableContents"/>
              <w:bidi w:val="0"/>
              <w:spacing w:before="0" w:after="283"/>
              <w:ind w:left="0" w:right="0" w:hanging="0"/>
              <w:jc w:val="center"/>
              <w:rPr>
                <w:spacing w:val="0"/>
                <w:sz w:val="20"/>
              </w:rPr>
            </w:pPr>
            <w:bookmarkStart w:id="20" w:name="xdx_900_edei--TradingSymbol_c20250403__2"/>
            <w:bookmarkEnd w:id="20"/>
            <w:r>
              <w:rPr>
                <w:spacing w:val="0"/>
                <w:sz w:val="20"/>
              </w:rPr>
              <w:t>NCRA</w:t>
            </w:r>
          </w:p>
        </w:tc>
        <w:tc>
          <w:tcPr>
            <w:tcW w:w="3710" w:type="dxa"/>
            <w:tcBorders/>
            <w:tcMar>
              <w:bottom w:w="0" w:type="dxa"/>
            </w:tcMar>
            <w:vAlign w:val="center"/>
          </w:tcPr>
          <w:p>
            <w:pPr>
              <w:pStyle w:val="TableContents"/>
              <w:bidi w:val="0"/>
              <w:spacing w:before="0" w:after="283"/>
              <w:jc w:val="center"/>
              <w:rPr>
                <w:spacing w:val="0"/>
                <w:sz w:val="20"/>
              </w:rPr>
            </w:pPr>
            <w:r>
              <w:rPr>
                <w:spacing w:val="0"/>
                <w:sz w:val="20"/>
              </w:rPr>
              <w:t xml:space="preserve">The </w:t>
            </w:r>
            <w:bookmarkStart w:id="21" w:name="xdx_907_edei--SecurityExchangeName_c2025"/>
            <w:bookmarkEnd w:id="21"/>
            <w:r>
              <w:rPr>
                <w:spacing w:val="0"/>
                <w:sz w:val="20"/>
              </w:rPr>
              <w:t>Nasdaq Stock Market LLC</w:t>
            </w:r>
          </w:p>
        </w:tc>
      </w:tr>
    </w:tbl>
    <w:p>
      <w:pPr>
        <w:pStyle w:val="TextBody"/>
        <w:bidi w:val="0"/>
        <w:ind w:left="0" w:right="0" w:hanging="0"/>
        <w:jc w:val="left"/>
        <w:rPr>
          <w:caps w:val="false"/>
          <w:smallCaps w:val="false"/>
          <w:spacing w:val="0"/>
        </w:rPr>
      </w:pPr>
      <w:r>
        <w:rPr>
          <w:caps w:val="false"/>
          <w:smallCaps w:val="false"/>
          <w:spacing w:val="0"/>
        </w:rPr>
        <w:t> </w:t>
      </w:r>
    </w:p>
    <w:p>
      <w:pPr>
        <w:pStyle w:val="TextBody"/>
        <w:bidi w:val="0"/>
        <w:ind w:left="0" w:right="0" w:hanging="0"/>
        <w:jc w:val="both"/>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Indicate by check mark whether the registrant is an emerging growth company as defined in Rule 405 of the Securities Act of 1933 (§230.405 of this chapter) or Rule 12b-2 of the Securities Exchange Act of 1934 (§240.12b-2 of this chapter) </w:t>
      </w:r>
    </w:p>
    <w:p>
      <w:pPr>
        <w:pStyle w:val="TextBody"/>
        <w:bidi w:val="0"/>
        <w:jc w:val="right"/>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 xml:space="preserve">Emerging growth company </w:t>
      </w:r>
      <w:bookmarkStart w:id="22" w:name="xdx_90E_edei--EntityEmergingGrowthCompan"/>
      <w:bookmarkEnd w:id="22"/>
      <w:r>
        <w:rPr>
          <w:rFonts w:ascii="Times New Roman;Times;Serif" w:hAnsi="Times New Roman;Times;Serif"/>
          <w:b w:val="false"/>
          <w:i w:val="false"/>
          <w:caps w:val="false"/>
          <w:smallCaps w:val="false"/>
          <w:spacing w:val="0"/>
          <w:sz w:val="20"/>
        </w:rPr>
        <w:t>☒</w:t>
      </w:r>
    </w:p>
    <w:p>
      <w:pPr>
        <w:pStyle w:val="TextBody"/>
        <w:bidi w:val="0"/>
        <w:ind w:left="0" w:right="0" w:firstLine="720"/>
        <w:jc w:val="both"/>
        <w:rPr>
          <w:caps w:val="false"/>
          <w:smallCaps w:val="false"/>
          <w:spacing w:val="0"/>
        </w:rPr>
      </w:pPr>
      <w:r>
        <w:rPr>
          <w:caps w:val="false"/>
          <w:smallCaps w:val="false"/>
          <w:spacing w:val="0"/>
        </w:rPr>
        <w:t> </w:t>
      </w:r>
    </w:p>
    <w:p>
      <w:pPr>
        <w:pStyle w:val="TextBody"/>
        <w:bidi w:val="0"/>
        <w:ind w:left="0" w:right="0" w:hanging="0"/>
        <w:jc w:val="both"/>
        <w:rPr>
          <w:rFonts w:ascii="Times New Roman;Times;Serif" w:hAnsi="Times New Roman;Times;Serif"/>
          <w:b w:val="false"/>
          <w:i w:val="false"/>
          <w:caps w:val="false"/>
          <w:smallCaps w:val="false"/>
          <w:spacing w:val="0"/>
          <w:sz w:val="20"/>
        </w:rPr>
      </w:pPr>
      <w:r>
        <w:rPr>
          <w:rFonts w:ascii="Times New Roman;Times;Serif" w:hAnsi="Times New Roman;Times;Serif"/>
          <w:b w:val="false"/>
          <w:i w:val="false"/>
          <w:caps w:val="false"/>
          <w:smallCaps w:val="false"/>
          <w:spacing w:val="0"/>
          <w:sz w:val="20"/>
        </w:rPr>
        <w:t>If an emerging growth company, indicate by check mark if the registrant has elected not to use the extended transition period for complying with any new or revised financial accounting standards provided pursuant to Section 13(a) of the Exchange Act. </w:t>
      </w:r>
      <w:bookmarkStart w:id="23" w:name="xdx_90B_edei--EntityExTransitionPeriod_c"/>
      <w:bookmarkEnd w:id="23"/>
      <w:r>
        <w:rPr>
          <w:rFonts w:ascii="Times New Roman;Times;Serif" w:hAnsi="Times New Roman;Times;Serif"/>
          <w:b w:val="false"/>
          <w:i w:val="false"/>
          <w:caps w:val="false"/>
          <w:smallCaps w:val="false"/>
          <w:spacing w:val="0"/>
          <w:sz w:val="20"/>
        </w:rPr>
        <w: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Item 4.02 Non-Reliance on Previously Issued Financial Statements or a Related Audit Report or Completed Interim Review.</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3, 2025, the Board of Directors (the “Board”) of Nocera, Inc. (the “Company”), after discussion with management and in consultation with the Company’s independent registered public accounting firm, concluded that the unaudited interim consolidated financial statements for the quarterly periods ended March 31, 2024, June 30, 2024, and September 30, 2024 (collectively, the “Restated Periods”), as included in the Company’s Quarterly Reports on Form 10-Q for the respective periods (collectively, the “Prior Filings”), should no longer be relied upon due to material errors in those financial statements.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determined that it incorrectly accounted for changes in the fair value of its warrant liability under ASC 815-40-35-4 and ASC 825-10-45-5. Specifically, the Company failed to recognize a decrease in the fair value of its warrant liability in the amount of $552,173 in its statement of operations during the Restated Periods. As a result of the failure to recognize the decrease in fair value of the warrant liability, the warrant liability and total liabilities were overstated by approximately 70% and 35%, respectively, on the Company’s balance sheet as of September 30, 2024. In addition, the unrecognized adjustment materially impacted the Company’s reported net loss of $1.16 million for 2024.</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will restate the unaudited financial statements for the Restated Periods to recognize the change in fair value of the warrant liability in accordance with Generally Accepted Accounting Principles (GAAP). The Company also considered the applicability of the guidance in ASC 250-10-50 regarding the correction of errors and will include appropriate disclosures related to the nature and impact of the misstatement and the corrections made.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the Company determined that controls over the evaluation and measurement of warrant liabilities, as well as controls over the reversal of liabilities during the periods ended March 31, 2024, June 30, 2024, and September 30, 2024, were not operating effectively. Consequently, management has concluded that a material weakness existed in the Company’s internal control over financial reporting during the Restated Periods. Accordingly, management’s prior conclusions regarding the effectiveness of the Company’s disclosure controls and procedures as of March 31, 2024, June 30, 2024, and September 30, 2024 should no longer be relied upon.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intends to include in its Annual Report on Form 10-K for the fiscal year ended December 31, 2024 (the “2024 Form 10-K”), which is expected to be filed on or before April 15, 2025 (i) restated financial statements for the Restated Periods, presented as footnotes to the 2024 Form 10-K; (ii) an explanatory note describing the background and impact of the restatements, including their effect on internal control over financial reporting; and (iii) an updated evaluation by management concluding that the Company’s disclosure controls and procedures and internal control over financial reporting were not effective as of the end of the Restated Periods due to material weaknesses identified.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has discussed the matters disclosed in this Item 4.02(a) with its independent registered public accounting firm, Enrome LLP.</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SIGNATURES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the registrant has duly caused this report to be signed on its behalf by the undersigned hereunto duly authorized.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450" w:type="dxa"/>
        <w:jc w:val="left"/>
        <w:tblInd w:w="0" w:type="dxa"/>
        <w:tblLayout w:type="fixed"/>
        <w:tblCellMar>
          <w:top w:w="0" w:type="dxa"/>
          <w:left w:w="0" w:type="dxa"/>
          <w:bottom w:w="0" w:type="dxa"/>
          <w:right w:w="0" w:type="dxa"/>
        </w:tblCellMar>
      </w:tblPr>
      <w:tblGrid>
        <w:gridCol w:w="1595"/>
        <w:gridCol w:w="2855"/>
      </w:tblGrid>
      <w:tr>
        <w:trPr/>
        <w:tc>
          <w:tcPr>
            <w:tcW w:w="1595" w:type="dxa"/>
            <w:tcBorders/>
            <w:vAlign w:val="center"/>
          </w:tcPr>
          <w:p>
            <w:pPr>
              <w:pStyle w:val="TableContents"/>
              <w:bidi w:val="0"/>
              <w:spacing w:before="0" w:after="283"/>
              <w:jc w:val="both"/>
              <w:rPr/>
            </w:pPr>
            <w:r>
              <w:rPr/>
              <w:t> </w:t>
            </w:r>
          </w:p>
        </w:tc>
        <w:tc>
          <w:tcPr>
            <w:tcW w:w="2855" w:type="dxa"/>
            <w:tcBorders/>
            <w:vAlign w:val="center"/>
          </w:tcPr>
          <w:p>
            <w:pPr>
              <w:pStyle w:val="TableContents"/>
              <w:bidi w:val="0"/>
              <w:spacing w:before="0" w:after="283"/>
              <w:jc w:val="both"/>
              <w:rPr>
                <w:b/>
                <w:sz w:val="20"/>
              </w:rPr>
            </w:pPr>
            <w:r>
              <w:rPr>
                <w:b/>
                <w:sz w:val="20"/>
              </w:rPr>
              <w:t>NOCERA, INC.</w:t>
            </w:r>
          </w:p>
        </w:tc>
      </w:tr>
      <w:tr>
        <w:trPr/>
        <w:tc>
          <w:tcPr>
            <w:tcW w:w="1595" w:type="dxa"/>
            <w:tcBorders/>
            <w:vAlign w:val="center"/>
          </w:tcPr>
          <w:p>
            <w:pPr>
              <w:pStyle w:val="TableContents"/>
              <w:bidi w:val="0"/>
              <w:spacing w:before="0" w:after="283"/>
              <w:jc w:val="both"/>
              <w:rPr/>
            </w:pPr>
            <w:r>
              <w:rPr/>
              <w:t> </w:t>
            </w:r>
          </w:p>
        </w:tc>
        <w:tc>
          <w:tcPr>
            <w:tcW w:w="2855" w:type="dxa"/>
            <w:tcBorders/>
            <w:vAlign w:val="center"/>
          </w:tcPr>
          <w:p>
            <w:pPr>
              <w:pStyle w:val="TableContents"/>
              <w:bidi w:val="0"/>
              <w:spacing w:before="0" w:after="283"/>
              <w:jc w:val="both"/>
              <w:rPr/>
            </w:pPr>
            <w:r>
              <w:rPr/>
              <w:t> </w:t>
            </w:r>
          </w:p>
        </w:tc>
      </w:tr>
      <w:tr>
        <w:trPr/>
        <w:tc>
          <w:tcPr>
            <w:tcW w:w="1595" w:type="dxa"/>
            <w:tcBorders/>
            <w:vAlign w:val="center"/>
          </w:tcPr>
          <w:p>
            <w:pPr>
              <w:pStyle w:val="TableContents"/>
              <w:bidi w:val="0"/>
              <w:spacing w:before="0" w:after="283"/>
              <w:jc w:val="both"/>
              <w:rPr/>
            </w:pPr>
            <w:r>
              <w:rPr/>
              <w:t> </w:t>
            </w:r>
          </w:p>
        </w:tc>
        <w:tc>
          <w:tcPr>
            <w:tcW w:w="2855" w:type="dxa"/>
            <w:tcBorders/>
            <w:vAlign w:val="center"/>
          </w:tcPr>
          <w:p>
            <w:pPr>
              <w:pStyle w:val="TableContents"/>
              <w:bidi w:val="0"/>
              <w:spacing w:before="0" w:after="283"/>
              <w:jc w:val="both"/>
              <w:rPr/>
            </w:pPr>
            <w:r>
              <w:rPr/>
              <w:t> </w:t>
            </w:r>
          </w:p>
        </w:tc>
      </w:tr>
      <w:tr>
        <w:trPr/>
        <w:tc>
          <w:tcPr>
            <w:tcW w:w="1595" w:type="dxa"/>
            <w:tcBorders/>
            <w:vAlign w:val="center"/>
          </w:tcPr>
          <w:p>
            <w:pPr>
              <w:pStyle w:val="TableContents"/>
              <w:bidi w:val="0"/>
              <w:spacing w:before="0" w:after="283"/>
              <w:jc w:val="both"/>
              <w:rPr>
                <w:sz w:val="20"/>
              </w:rPr>
            </w:pPr>
            <w:r>
              <w:rPr>
                <w:sz w:val="20"/>
              </w:rPr>
              <w:t>Date: April 3, 2025</w:t>
            </w:r>
          </w:p>
        </w:tc>
        <w:tc>
          <w:tcPr>
            <w:tcW w:w="2855" w:type="dxa"/>
            <w:tcBorders/>
            <w:vAlign w:val="center"/>
          </w:tcPr>
          <w:p>
            <w:pPr>
              <w:pStyle w:val="TableContents"/>
              <w:bidi w:val="0"/>
              <w:spacing w:before="0" w:after="283"/>
              <w:jc w:val="both"/>
              <w:rPr>
                <w:sz w:val="20"/>
              </w:rPr>
            </w:pPr>
            <w:r>
              <w:rPr>
                <w:sz w:val="20"/>
              </w:rPr>
              <w:t xml:space="preserve">By: </w:t>
            </w:r>
            <w:r>
              <w:rPr>
                <w:i/>
                <w:sz w:val="20"/>
                <w:u w:val="single"/>
              </w:rPr>
              <w:t>/s/ Andy Ching-An Jin</w:t>
            </w:r>
          </w:p>
        </w:tc>
      </w:tr>
      <w:tr>
        <w:trPr/>
        <w:tc>
          <w:tcPr>
            <w:tcW w:w="1595" w:type="dxa"/>
            <w:tcBorders/>
            <w:vAlign w:val="center"/>
          </w:tcPr>
          <w:p>
            <w:pPr>
              <w:pStyle w:val="TableContents"/>
              <w:bidi w:val="0"/>
              <w:spacing w:before="0" w:after="283"/>
              <w:jc w:val="left"/>
              <w:rPr/>
            </w:pPr>
            <w:r>
              <w:rPr/>
              <w:t> </w:t>
            </w:r>
          </w:p>
        </w:tc>
        <w:tc>
          <w:tcPr>
            <w:tcW w:w="2855" w:type="dxa"/>
            <w:tcBorders/>
            <w:vAlign w:val="center"/>
          </w:tcPr>
          <w:p>
            <w:pPr>
              <w:pStyle w:val="TableContents"/>
              <w:bidi w:val="0"/>
              <w:jc w:val="both"/>
              <w:rPr/>
            </w:pPr>
            <w:r>
              <w:rPr/>
              <w:t>Name: Andy Ching-An Jin</w:t>
            </w:r>
          </w:p>
          <w:p>
            <w:pPr>
              <w:pStyle w:val="TableContents"/>
              <w:bidi w:val="0"/>
              <w:spacing w:before="0" w:after="283"/>
              <w:jc w:val="both"/>
              <w:rPr/>
            </w:pPr>
            <w:r>
              <w:rPr/>
              <w:t>Title: Chief Executive Officer</w:t>
            </w:r>
          </w:p>
        </w:tc>
      </w:tr>
      <w:tr>
        <w:trPr/>
        <w:tc>
          <w:tcPr>
            <w:tcW w:w="1595" w:type="dxa"/>
            <w:tcBorders/>
            <w:vAlign w:val="center"/>
          </w:tcPr>
          <w:p>
            <w:pPr>
              <w:pStyle w:val="TableContents"/>
              <w:bidi w:val="0"/>
              <w:spacing w:before="0" w:after="283"/>
              <w:jc w:val="left"/>
              <w:rPr/>
            </w:pPr>
            <w:r>
              <w:rPr/>
              <w:t> </w:t>
            </w:r>
          </w:p>
        </w:tc>
        <w:tc>
          <w:tcPr>
            <w:tcW w:w="2855" w:type="dxa"/>
            <w:tcBorders/>
            <w:vAlign w:val="center"/>
          </w:tcPr>
          <w:p>
            <w:pPr>
              <w:pStyle w:val="TableContents"/>
              <w:bidi w:val="0"/>
              <w:spacing w:before="0" w:after="283"/>
              <w:jc w:val="both"/>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r>
        <w:br w:type="page"/>
      </w:r>
    </w:p>
    <w:sectPr>
      <w:type w:val="nextPage"/>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4</Pages>
  <Words>872</Words>
  <Characters>4837</Characters>
  <CharactersWithSpaces>5729</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