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Arial" w:cs="Arial" w:eastAsia="Arial" w:hAnsi="Arial"/>
          <w:sz w:val="18"/>
          <w:szCs w:val="18"/>
          <w:b w:val="1"/>
          <w:bCs w:val="1"/>
          <w:color w:val="auto"/>
        </w:rPr>
        <w:t>UNITED STATES</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WASHINGTON, D.C. 20549</w:t>
      </w:r>
    </w:p>
    <w:p>
      <w:pPr>
        <w:spacing w:after="0" w:line="207"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FORM 8-K</w:t>
      </w:r>
    </w:p>
    <w:p>
      <w:pPr>
        <w:spacing w:after="0" w:line="225"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CURRENT REPORT</w:t>
      </w:r>
    </w:p>
    <w:p>
      <w:pPr>
        <w:spacing w:after="0" w:line="225"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Pursuant to Section 13 or 15(d) of the Securities Exchange Act of 1934</w:t>
      </w:r>
    </w:p>
    <w:p>
      <w:pPr>
        <w:spacing w:after="0" w:line="225"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 xml:space="preserve">Date of Report (date of earliest event reported): </w:t>
      </w:r>
      <w:r>
        <w:rPr>
          <w:rFonts w:ascii="Arial" w:cs="Arial" w:eastAsia="Arial" w:hAnsi="Arial"/>
          <w:sz w:val="18"/>
          <w:szCs w:val="18"/>
          <w:b w:val="1"/>
          <w:bCs w:val="1"/>
          <w:color w:val="auto"/>
        </w:rPr>
        <w:t>July 27, 2023</w:t>
      </w:r>
    </w:p>
    <w:p>
      <w:pPr>
        <w:spacing w:after="0" w:line="216" w:lineRule="exact"/>
        <w:rPr>
          <w:sz w:val="24"/>
          <w:szCs w:val="24"/>
          <w:color w:val="auto"/>
        </w:rPr>
      </w:pPr>
    </w:p>
    <w:p>
      <w:pPr>
        <w:jc w:val="center"/>
        <w:spacing w:after="0"/>
        <w:rPr>
          <w:sz w:val="20"/>
          <w:szCs w:val="20"/>
          <w:color w:val="auto"/>
        </w:rPr>
      </w:pPr>
      <w:r>
        <w:rPr>
          <w:rFonts w:ascii="Arial" w:cs="Arial" w:eastAsia="Arial" w:hAnsi="Arial"/>
          <w:sz w:val="22"/>
          <w:szCs w:val="22"/>
          <w:b w:val="1"/>
          <w:bCs w:val="1"/>
          <w:u w:val="single" w:color="auto"/>
          <w:color w:val="auto"/>
        </w:rPr>
        <w:t>NOCERA, INC.</w:t>
      </w:r>
    </w:p>
    <w:p>
      <w:pPr>
        <w:spacing w:after="0" w:line="19"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(Exact name of registrant as specified in charter)</w:t>
      </w:r>
    </w:p>
    <w:p>
      <w:pPr>
        <w:spacing w:after="0" w:line="205" w:lineRule="exact"/>
        <w:rPr>
          <w:sz w:val="24"/>
          <w:szCs w:val="24"/>
          <w:color w:val="auto"/>
        </w:rPr>
      </w:pPr>
    </w:p>
    <w:tbl>
      <w:tblPr>
        <w:tblLayout w:type="fixed"/>
        <w:tblInd w:w="0" w:type="dxa"/>
        <w:tblCellMar>
          <w:top w:w="0" w:type="dxa"/>
          <w:left w:w="0" w:type="dxa"/>
          <w:bottom w:w="0" w:type="dxa"/>
          <w:right w:w="0" w:type="dxa"/>
        </w:tblCellMar>
      </w:tblPr>
      <w:tr>
        <w:trPr>
          <w:trHeight w:val="241"/>
        </w:trPr>
        <w:tc>
          <w:tcPr>
            <w:tcW w:w="3380" w:type="dxa"/>
            <w:vAlign w:val="bottom"/>
          </w:tcPr>
          <w:p>
            <w:pPr>
              <w:jc w:val="center"/>
              <w:spacing w:after="0"/>
              <w:rPr>
                <w:sz w:val="20"/>
                <w:szCs w:val="20"/>
                <w:color w:val="auto"/>
              </w:rPr>
            </w:pPr>
            <w:r>
              <w:rPr>
                <w:rFonts w:ascii="Arial" w:cs="Arial" w:eastAsia="Arial" w:hAnsi="Arial"/>
                <w:sz w:val="18"/>
                <w:szCs w:val="18"/>
                <w:b w:val="1"/>
                <w:bCs w:val="1"/>
                <w:color w:val="auto"/>
                <w:w w:val="90"/>
              </w:rPr>
              <w:t>Nevada</w:t>
            </w:r>
          </w:p>
        </w:tc>
        <w:tc>
          <w:tcPr>
            <w:tcW w:w="3940" w:type="dxa"/>
            <w:vAlign w:val="bottom"/>
            <w:gridSpan w:val="2"/>
          </w:tcPr>
          <w:p>
            <w:pPr>
              <w:jc w:val="center"/>
              <w:ind w:left="470"/>
              <w:spacing w:after="0"/>
              <w:rPr>
                <w:sz w:val="20"/>
                <w:szCs w:val="20"/>
                <w:color w:val="auto"/>
              </w:rPr>
            </w:pPr>
            <w:r>
              <w:rPr>
                <w:rFonts w:ascii="Arial" w:cs="Arial" w:eastAsia="Arial" w:hAnsi="Arial"/>
                <w:sz w:val="18"/>
                <w:szCs w:val="18"/>
                <w:b w:val="1"/>
                <w:bCs w:val="1"/>
                <w:color w:val="auto"/>
                <w:w w:val="90"/>
              </w:rPr>
              <w:t>001-41434</w:t>
            </w:r>
          </w:p>
        </w:tc>
        <w:tc>
          <w:tcPr>
            <w:tcW w:w="3920" w:type="dxa"/>
            <w:vAlign w:val="bottom"/>
            <w:gridSpan w:val="2"/>
          </w:tcPr>
          <w:p>
            <w:pPr>
              <w:jc w:val="center"/>
              <w:ind w:left="450"/>
              <w:spacing w:after="0"/>
              <w:rPr>
                <w:sz w:val="20"/>
                <w:szCs w:val="20"/>
                <w:color w:val="auto"/>
              </w:rPr>
            </w:pPr>
            <w:r>
              <w:rPr>
                <w:rFonts w:ascii="Arial" w:cs="Arial" w:eastAsia="Arial" w:hAnsi="Arial"/>
                <w:sz w:val="18"/>
                <w:szCs w:val="18"/>
                <w:b w:val="1"/>
                <w:bCs w:val="1"/>
                <w:color w:val="auto"/>
                <w:w w:val="89"/>
              </w:rPr>
              <w:t>16-1626611</w:t>
            </w:r>
          </w:p>
        </w:tc>
      </w:tr>
      <w:tr>
        <w:trPr>
          <w:trHeight w:val="202"/>
        </w:trPr>
        <w:tc>
          <w:tcPr>
            <w:tcW w:w="3380" w:type="dxa"/>
            <w:vAlign w:val="bottom"/>
            <w:tcBorders>
              <w:top w:val="single" w:sz="8" w:color="auto"/>
            </w:tcBorders>
          </w:tcPr>
          <w:p>
            <w:pPr>
              <w:jc w:val="center"/>
              <w:spacing w:after="0" w:line="201" w:lineRule="exact"/>
              <w:rPr>
                <w:sz w:val="20"/>
                <w:szCs w:val="20"/>
                <w:color w:val="auto"/>
              </w:rPr>
            </w:pPr>
            <w:r>
              <w:rPr>
                <w:rFonts w:ascii="Arial" w:cs="Arial" w:eastAsia="Arial" w:hAnsi="Arial"/>
                <w:sz w:val="18"/>
                <w:szCs w:val="18"/>
                <w:color w:val="auto"/>
                <w:w w:val="92"/>
              </w:rPr>
              <w:t>(State or other jurisdiction</w:t>
            </w:r>
          </w:p>
        </w:tc>
        <w:tc>
          <w:tcPr>
            <w:tcW w:w="560" w:type="dxa"/>
            <w:vAlign w:val="bottom"/>
          </w:tcPr>
          <w:p>
            <w:pPr>
              <w:spacing w:after="0"/>
              <w:rPr>
                <w:sz w:val="17"/>
                <w:szCs w:val="17"/>
                <w:color w:val="auto"/>
              </w:rPr>
            </w:pPr>
          </w:p>
        </w:tc>
        <w:tc>
          <w:tcPr>
            <w:tcW w:w="3380" w:type="dxa"/>
            <w:vAlign w:val="bottom"/>
            <w:tcBorders>
              <w:top w:val="single" w:sz="8" w:color="auto"/>
            </w:tcBorders>
          </w:tcPr>
          <w:p>
            <w:pPr>
              <w:jc w:val="center"/>
              <w:spacing w:after="0" w:line="201" w:lineRule="exact"/>
              <w:rPr>
                <w:sz w:val="20"/>
                <w:szCs w:val="20"/>
                <w:color w:val="auto"/>
              </w:rPr>
            </w:pPr>
            <w:r>
              <w:rPr>
                <w:rFonts w:ascii="Arial" w:cs="Arial" w:eastAsia="Arial" w:hAnsi="Arial"/>
                <w:sz w:val="18"/>
                <w:szCs w:val="18"/>
                <w:color w:val="auto"/>
                <w:w w:val="91"/>
              </w:rPr>
              <w:t>(Commission</w:t>
            </w:r>
          </w:p>
        </w:tc>
        <w:tc>
          <w:tcPr>
            <w:tcW w:w="540" w:type="dxa"/>
            <w:vAlign w:val="bottom"/>
          </w:tcPr>
          <w:p>
            <w:pPr>
              <w:spacing w:after="0"/>
              <w:rPr>
                <w:sz w:val="17"/>
                <w:szCs w:val="17"/>
                <w:color w:val="auto"/>
              </w:rPr>
            </w:pPr>
          </w:p>
        </w:tc>
        <w:tc>
          <w:tcPr>
            <w:tcW w:w="3380" w:type="dxa"/>
            <w:vAlign w:val="bottom"/>
            <w:tcBorders>
              <w:top w:val="single" w:sz="8" w:color="auto"/>
            </w:tcBorders>
          </w:tcPr>
          <w:p>
            <w:pPr>
              <w:jc w:val="center"/>
              <w:spacing w:after="0" w:line="201" w:lineRule="exact"/>
              <w:rPr>
                <w:sz w:val="20"/>
                <w:szCs w:val="20"/>
                <w:color w:val="auto"/>
              </w:rPr>
            </w:pPr>
            <w:r>
              <w:rPr>
                <w:rFonts w:ascii="Arial" w:cs="Arial" w:eastAsia="Arial" w:hAnsi="Arial"/>
                <w:sz w:val="18"/>
                <w:szCs w:val="18"/>
                <w:color w:val="auto"/>
                <w:w w:val="93"/>
              </w:rPr>
              <w:t>(IRS Employer</w:t>
            </w:r>
          </w:p>
        </w:tc>
      </w:tr>
      <w:tr>
        <w:trPr>
          <w:trHeight w:val="230"/>
        </w:trPr>
        <w:tc>
          <w:tcPr>
            <w:tcW w:w="3380" w:type="dxa"/>
            <w:vAlign w:val="bottom"/>
          </w:tcPr>
          <w:p>
            <w:pPr>
              <w:jc w:val="center"/>
              <w:spacing w:after="0"/>
              <w:rPr>
                <w:sz w:val="20"/>
                <w:szCs w:val="20"/>
                <w:color w:val="auto"/>
              </w:rPr>
            </w:pPr>
            <w:r>
              <w:rPr>
                <w:rFonts w:ascii="Arial" w:cs="Arial" w:eastAsia="Arial" w:hAnsi="Arial"/>
                <w:sz w:val="18"/>
                <w:szCs w:val="18"/>
                <w:color w:val="auto"/>
                <w:w w:val="93"/>
              </w:rPr>
              <w:t>of incorporation)</w:t>
            </w:r>
          </w:p>
        </w:tc>
        <w:tc>
          <w:tcPr>
            <w:tcW w:w="560" w:type="dxa"/>
            <w:vAlign w:val="bottom"/>
          </w:tcPr>
          <w:p>
            <w:pPr>
              <w:spacing w:after="0"/>
              <w:rPr>
                <w:sz w:val="20"/>
                <w:szCs w:val="20"/>
                <w:color w:val="auto"/>
              </w:rPr>
            </w:pPr>
          </w:p>
        </w:tc>
        <w:tc>
          <w:tcPr>
            <w:tcW w:w="3380" w:type="dxa"/>
            <w:vAlign w:val="bottom"/>
          </w:tcPr>
          <w:p>
            <w:pPr>
              <w:jc w:val="center"/>
              <w:spacing w:after="0"/>
              <w:rPr>
                <w:sz w:val="20"/>
                <w:szCs w:val="20"/>
                <w:color w:val="auto"/>
              </w:rPr>
            </w:pPr>
            <w:r>
              <w:rPr>
                <w:rFonts w:ascii="Arial" w:cs="Arial" w:eastAsia="Arial" w:hAnsi="Arial"/>
                <w:sz w:val="18"/>
                <w:szCs w:val="18"/>
                <w:color w:val="auto"/>
                <w:w w:val="94"/>
              </w:rPr>
              <w:t>File Number)</w:t>
            </w:r>
          </w:p>
        </w:tc>
        <w:tc>
          <w:tcPr>
            <w:tcW w:w="540" w:type="dxa"/>
            <w:vAlign w:val="bottom"/>
          </w:tcPr>
          <w:p>
            <w:pPr>
              <w:spacing w:after="0"/>
              <w:rPr>
                <w:sz w:val="20"/>
                <w:szCs w:val="20"/>
                <w:color w:val="auto"/>
              </w:rPr>
            </w:pPr>
          </w:p>
        </w:tc>
        <w:tc>
          <w:tcPr>
            <w:tcW w:w="3380" w:type="dxa"/>
            <w:vAlign w:val="bottom"/>
          </w:tcPr>
          <w:p>
            <w:pPr>
              <w:jc w:val="center"/>
              <w:spacing w:after="0"/>
              <w:rPr>
                <w:sz w:val="20"/>
                <w:szCs w:val="20"/>
                <w:color w:val="auto"/>
              </w:rPr>
            </w:pPr>
            <w:r>
              <w:rPr>
                <w:rFonts w:ascii="Arial" w:cs="Arial" w:eastAsia="Arial" w:hAnsi="Arial"/>
                <w:sz w:val="18"/>
                <w:szCs w:val="18"/>
                <w:color w:val="auto"/>
                <w:w w:val="95"/>
              </w:rPr>
              <w:t>Identification No.)</w:t>
            </w:r>
          </w:p>
        </w:tc>
      </w:tr>
    </w:tbl>
    <w:p>
      <w:pPr>
        <w:spacing w:after="0" w:line="198" w:lineRule="exact"/>
        <w:rPr>
          <w:sz w:val="24"/>
          <w:szCs w:val="24"/>
          <w:color w:val="auto"/>
        </w:rPr>
      </w:pPr>
    </w:p>
    <w:p>
      <w:pPr>
        <w:jc w:val="center"/>
        <w:spacing w:after="0"/>
        <w:rPr>
          <w:sz w:val="20"/>
          <w:szCs w:val="20"/>
          <w:color w:val="auto"/>
        </w:rPr>
      </w:pPr>
      <w:r>
        <w:rPr>
          <w:rFonts w:ascii="Arial" w:cs="Arial" w:eastAsia="Arial" w:hAnsi="Arial"/>
          <w:sz w:val="18"/>
          <w:szCs w:val="18"/>
          <w:b w:val="1"/>
          <w:bCs w:val="1"/>
          <w:u w:val="single" w:color="auto"/>
          <w:color w:val="auto"/>
        </w:rPr>
        <w:t>3F (Building B), No. 185, Sec. 1, Datong Rd., Xizhi Dist., New Taipei City Taiwan 221, ROC</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(Address of principal executive offices and zip code)</w:t>
      </w:r>
    </w:p>
    <w:p>
      <w:pPr>
        <w:spacing w:after="0" w:line="207" w:lineRule="exact"/>
        <w:rPr>
          <w:sz w:val="24"/>
          <w:szCs w:val="24"/>
          <w:color w:val="auto"/>
        </w:rPr>
      </w:pPr>
    </w:p>
    <w:p>
      <w:pPr>
        <w:jc w:val="center"/>
        <w:spacing w:after="0"/>
        <w:rPr>
          <w:sz w:val="20"/>
          <w:szCs w:val="20"/>
          <w:color w:val="auto"/>
        </w:rPr>
      </w:pPr>
      <w:r>
        <w:rPr>
          <w:rFonts w:ascii="Arial" w:cs="Arial" w:eastAsia="Arial" w:hAnsi="Arial"/>
          <w:sz w:val="18"/>
          <w:szCs w:val="18"/>
          <w:b w:val="1"/>
          <w:bCs w:val="1"/>
          <w:u w:val="single" w:color="auto"/>
          <w:color w:val="auto"/>
        </w:rPr>
        <w:t>(886) 910-163-358</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(Registrant’s telephone number, including area code)</w:t>
      </w:r>
    </w:p>
    <w:p>
      <w:pPr>
        <w:spacing w:after="0" w:line="207" w:lineRule="exact"/>
        <w:rPr>
          <w:sz w:val="24"/>
          <w:szCs w:val="24"/>
          <w:color w:val="auto"/>
        </w:rPr>
      </w:pPr>
    </w:p>
    <w:p>
      <w:pPr>
        <w:jc w:val="center"/>
        <w:spacing w:after="0"/>
        <w:rPr>
          <w:sz w:val="20"/>
          <w:szCs w:val="20"/>
          <w:color w:val="auto"/>
        </w:rPr>
      </w:pPr>
      <w:r>
        <w:rPr>
          <w:rFonts w:ascii="Arial" w:cs="Arial" w:eastAsia="Arial" w:hAnsi="Arial"/>
          <w:sz w:val="18"/>
          <w:szCs w:val="18"/>
          <w:b w:val="1"/>
          <w:bCs w:val="1"/>
          <w:color w:val="auto"/>
        </w:rPr>
        <w:t>N/A</w:t>
      </w:r>
    </w:p>
    <w:p>
      <w:pPr>
        <w:spacing w:after="0" w:line="27" w:lineRule="exact"/>
        <w:rPr>
          <w:sz w:val="24"/>
          <w:szCs w:val="24"/>
          <w:color w:val="auto"/>
        </w:rPr>
      </w:pPr>
    </w:p>
    <w:p>
      <w:pPr>
        <w:jc w:val="center"/>
        <w:spacing w:after="0"/>
        <w:rPr>
          <w:sz w:val="20"/>
          <w:szCs w:val="20"/>
          <w:color w:val="auto"/>
        </w:rPr>
      </w:pPr>
      <w:r>
        <w:rPr>
          <w:rFonts w:ascii="Arial" w:cs="Arial" w:eastAsia="Arial" w:hAnsi="Arial"/>
          <w:sz w:val="18"/>
          <w:szCs w:val="18"/>
          <w:color w:val="auto"/>
        </w:rPr>
        <w:t>(Former name or former address, if changed since last report)</w:t>
      </w:r>
    </w:p>
    <w:p>
      <w:pPr>
        <w:spacing w:after="0" w:line="211" w:lineRule="exact"/>
        <w:rPr>
          <w:sz w:val="24"/>
          <w:szCs w:val="24"/>
          <w:color w:val="auto"/>
        </w:rPr>
      </w:pPr>
    </w:p>
    <w:p>
      <w:pPr>
        <w:jc w:val="both"/>
        <w:spacing w:after="0" w:line="277" w:lineRule="auto"/>
        <w:rPr>
          <w:sz w:val="20"/>
          <w:szCs w:val="20"/>
          <w:color w:val="auto"/>
        </w:rPr>
      </w:pPr>
      <w:r>
        <w:rPr>
          <w:rFonts w:ascii="Arial" w:cs="Arial" w:eastAsia="Arial" w:hAnsi="Arial"/>
          <w:sz w:val="18"/>
          <w:szCs w:val="18"/>
          <w:color w:val="auto"/>
        </w:rPr>
        <w:t>Check the appropriate box below if the Form 8-K filing is intended to simultaneously satisfy the filing obligation of registrant under any of the following provisions:</w:t>
      </w:r>
    </w:p>
    <w:p>
      <w:pPr>
        <w:spacing w:after="0" w:line="170" w:lineRule="exact"/>
        <w:rPr>
          <w:sz w:val="24"/>
          <w:szCs w:val="24"/>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220" w:hanging="212"/>
        <w:spacing w:after="0"/>
        <w:tabs>
          <w:tab w:leader="none" w:pos="220"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right="3000" w:firstLine="8"/>
        <w:spacing w:after="0" w:line="498" w:lineRule="auto"/>
        <w:tabs>
          <w:tab w:leader="none" w:pos="207" w:val="left"/>
        </w:tabs>
        <w:numPr>
          <w:ilvl w:val="0"/>
          <w:numId w:val="1"/>
        </w:numPr>
        <w:rPr>
          <w:rFonts w:ascii="MS PGothic" w:cs="MS PGothic" w:eastAsia="MS PGothic" w:hAnsi="MS PGothic"/>
          <w:sz w:val="18"/>
          <w:szCs w:val="18"/>
          <w:color w:val="auto"/>
        </w:rPr>
      </w:pPr>
      <w:r>
        <w:rPr>
          <w:rFonts w:ascii="Arial" w:cs="Arial" w:eastAsia="Arial" w:hAnsi="Arial"/>
          <w:sz w:val="18"/>
          <w:szCs w:val="18"/>
          <w:color w:val="auto"/>
        </w:rPr>
        <w:t>Pre-commencement communications pursuant to Rule 13e-4(c) under the Exchange Act (17 CFR 240.13e-4(c)) Securities registered pursuant to Section 12(b) of the Act: None</w:t>
      </w:r>
    </w:p>
    <w:p>
      <w:pPr>
        <w:spacing w:after="0" w:line="1" w:lineRule="exact"/>
        <w:rPr>
          <w:sz w:val="24"/>
          <w:szCs w:val="24"/>
          <w:color w:val="auto"/>
        </w:rPr>
      </w:pPr>
    </w:p>
    <w:tbl>
      <w:tblPr>
        <w:tblLayout w:type="fixed"/>
        <w:tblInd w:w="0" w:type="dxa"/>
        <w:tblCellMar>
          <w:top w:w="0" w:type="dxa"/>
          <w:left w:w="0" w:type="dxa"/>
          <w:bottom w:w="0" w:type="dxa"/>
          <w:right w:w="0" w:type="dxa"/>
        </w:tblCellMar>
      </w:tblPr>
      <w:tr>
        <w:trPr>
          <w:trHeight w:val="234"/>
        </w:trPr>
        <w:tc>
          <w:tcPr>
            <w:tcW w:w="4220" w:type="dxa"/>
            <w:vAlign w:val="bottom"/>
            <w:tcBorders>
              <w:bottom w:val="single" w:sz="8" w:color="auto"/>
            </w:tcBorders>
          </w:tcPr>
          <w:p>
            <w:pPr>
              <w:jc w:val="center"/>
              <w:ind w:right="370"/>
              <w:spacing w:after="0"/>
              <w:rPr>
                <w:sz w:val="20"/>
                <w:szCs w:val="20"/>
                <w:color w:val="auto"/>
              </w:rPr>
            </w:pPr>
            <w:r>
              <w:rPr>
                <w:rFonts w:ascii="Arial" w:cs="Arial" w:eastAsia="Arial" w:hAnsi="Arial"/>
                <w:sz w:val="18"/>
                <w:szCs w:val="18"/>
                <w:b w:val="1"/>
                <w:bCs w:val="1"/>
                <w:color w:val="auto"/>
                <w:w w:val="87"/>
              </w:rPr>
              <w:t>Title of each class</w:t>
            </w:r>
          </w:p>
        </w:tc>
        <w:tc>
          <w:tcPr>
            <w:tcW w:w="2760" w:type="dxa"/>
            <w:vAlign w:val="bottom"/>
            <w:tcBorders>
              <w:bottom w:val="single" w:sz="8" w:color="auto"/>
            </w:tcBorders>
          </w:tcPr>
          <w:p>
            <w:pPr>
              <w:jc w:val="center"/>
              <w:spacing w:after="0"/>
              <w:rPr>
                <w:sz w:val="20"/>
                <w:szCs w:val="20"/>
                <w:color w:val="auto"/>
              </w:rPr>
            </w:pPr>
            <w:r>
              <w:rPr>
                <w:rFonts w:ascii="Arial" w:cs="Arial" w:eastAsia="Arial" w:hAnsi="Arial"/>
                <w:sz w:val="18"/>
                <w:szCs w:val="18"/>
                <w:b w:val="1"/>
                <w:bCs w:val="1"/>
                <w:color w:val="auto"/>
                <w:w w:val="91"/>
              </w:rPr>
              <w:t>Trading Symbol</w:t>
            </w:r>
          </w:p>
        </w:tc>
        <w:tc>
          <w:tcPr>
            <w:tcW w:w="4260" w:type="dxa"/>
            <w:vAlign w:val="bottom"/>
            <w:tcBorders>
              <w:bottom w:val="single" w:sz="8" w:color="auto"/>
            </w:tcBorders>
          </w:tcPr>
          <w:p>
            <w:pPr>
              <w:jc w:val="center"/>
              <w:ind w:left="430"/>
              <w:spacing w:after="0"/>
              <w:rPr>
                <w:sz w:val="20"/>
                <w:szCs w:val="20"/>
                <w:color w:val="auto"/>
              </w:rPr>
            </w:pPr>
            <w:r>
              <w:rPr>
                <w:rFonts w:ascii="Arial" w:cs="Arial" w:eastAsia="Arial" w:hAnsi="Arial"/>
                <w:sz w:val="18"/>
                <w:szCs w:val="18"/>
                <w:b w:val="1"/>
                <w:bCs w:val="1"/>
                <w:color w:val="auto"/>
                <w:w w:val="87"/>
              </w:rPr>
              <w:t>Name of each exchange on which registered</w:t>
            </w:r>
          </w:p>
        </w:tc>
      </w:tr>
      <w:tr>
        <w:trPr>
          <w:trHeight w:val="224"/>
        </w:trPr>
        <w:tc>
          <w:tcPr>
            <w:tcW w:w="4220" w:type="dxa"/>
            <w:vAlign w:val="bottom"/>
          </w:tcPr>
          <w:p>
            <w:pPr>
              <w:jc w:val="center"/>
              <w:ind w:right="370"/>
              <w:spacing w:after="0"/>
              <w:rPr>
                <w:sz w:val="20"/>
                <w:szCs w:val="20"/>
                <w:color w:val="auto"/>
              </w:rPr>
            </w:pPr>
            <w:r>
              <w:rPr>
                <w:rFonts w:ascii="Arial" w:cs="Arial" w:eastAsia="Arial" w:hAnsi="Arial"/>
                <w:sz w:val="18"/>
                <w:szCs w:val="18"/>
                <w:color w:val="auto"/>
                <w:w w:val="89"/>
              </w:rPr>
              <w:t>Common Stock, par value $0.001 per share</w:t>
            </w:r>
          </w:p>
        </w:tc>
        <w:tc>
          <w:tcPr>
            <w:tcW w:w="2760" w:type="dxa"/>
            <w:vAlign w:val="bottom"/>
          </w:tcPr>
          <w:p>
            <w:pPr>
              <w:jc w:val="center"/>
              <w:spacing w:after="0"/>
              <w:rPr>
                <w:sz w:val="20"/>
                <w:szCs w:val="20"/>
                <w:color w:val="auto"/>
              </w:rPr>
            </w:pPr>
            <w:r>
              <w:rPr>
                <w:rFonts w:ascii="Arial" w:cs="Arial" w:eastAsia="Arial" w:hAnsi="Arial"/>
                <w:sz w:val="18"/>
                <w:szCs w:val="18"/>
                <w:color w:val="auto"/>
                <w:w w:val="97"/>
              </w:rPr>
              <w:t>NCRA</w:t>
            </w:r>
          </w:p>
        </w:tc>
        <w:tc>
          <w:tcPr>
            <w:tcW w:w="4260" w:type="dxa"/>
            <w:vAlign w:val="bottom"/>
          </w:tcPr>
          <w:p>
            <w:pPr>
              <w:jc w:val="center"/>
              <w:ind w:left="430"/>
              <w:spacing w:after="0"/>
              <w:rPr>
                <w:sz w:val="20"/>
                <w:szCs w:val="20"/>
                <w:color w:val="auto"/>
              </w:rPr>
            </w:pPr>
            <w:r>
              <w:rPr>
                <w:rFonts w:ascii="Arial" w:cs="Arial" w:eastAsia="Arial" w:hAnsi="Arial"/>
                <w:sz w:val="18"/>
                <w:szCs w:val="18"/>
                <w:color w:val="auto"/>
                <w:w w:val="91"/>
              </w:rPr>
              <w:t>The Nasdaq Stock Market LLC</w:t>
            </w:r>
          </w:p>
        </w:tc>
      </w:tr>
    </w:tbl>
    <w:p>
      <w:pPr>
        <w:spacing w:after="0" w:line="187" w:lineRule="exact"/>
        <w:rPr>
          <w:sz w:val="24"/>
          <w:szCs w:val="24"/>
          <w:color w:val="auto"/>
        </w:rPr>
      </w:pPr>
    </w:p>
    <w:p>
      <w:pPr>
        <w:jc w:val="both"/>
        <w:spacing w:after="0" w:line="277" w:lineRule="auto"/>
        <w:rPr>
          <w:sz w:val="20"/>
          <w:szCs w:val="20"/>
          <w:color w:val="auto"/>
        </w:rPr>
      </w:pPr>
      <w:r>
        <w:rPr>
          <w:rFonts w:ascii="Arial" w:cs="Arial" w:eastAsia="Arial" w:hAnsi="Arial"/>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6" w:lineRule="exact"/>
        <w:rPr>
          <w:sz w:val="24"/>
          <w:szCs w:val="24"/>
          <w:color w:val="auto"/>
        </w:rPr>
      </w:pPr>
    </w:p>
    <w:p>
      <w:pPr>
        <w:ind w:left="9060"/>
        <w:spacing w:after="0" w:line="184" w:lineRule="exact"/>
        <w:rPr>
          <w:sz w:val="20"/>
          <w:szCs w:val="20"/>
          <w:color w:val="auto"/>
        </w:rPr>
      </w:pPr>
      <w:r>
        <w:rPr>
          <w:rFonts w:ascii="Arial" w:cs="Arial" w:eastAsia="Arial" w:hAnsi="Arial"/>
          <w:sz w:val="16"/>
          <w:szCs w:val="16"/>
          <w:color w:val="auto"/>
        </w:rPr>
        <w:t xml:space="preserve">Emerging growth company </w:t>
      </w:r>
      <w:r>
        <w:rPr>
          <w:rFonts w:ascii="MS PGothic" w:cs="MS PGothic" w:eastAsia="MS PGothic" w:hAnsi="MS PGothic"/>
          <w:sz w:val="16"/>
          <w:szCs w:val="16"/>
          <w:color w:val="auto"/>
        </w:rPr>
        <w:t>☒</w:t>
      </w:r>
    </w:p>
    <w:p>
      <w:pPr>
        <w:spacing w:after="0" w:line="293" w:lineRule="exact"/>
        <w:rPr>
          <w:sz w:val="24"/>
          <w:szCs w:val="24"/>
          <w:color w:val="auto"/>
        </w:rPr>
      </w:pPr>
    </w:p>
    <w:p>
      <w:pPr>
        <w:jc w:val="both"/>
        <w:spacing w:after="0" w:line="291" w:lineRule="exact"/>
        <w:rPr>
          <w:sz w:val="20"/>
          <w:szCs w:val="20"/>
          <w:color w:val="auto"/>
        </w:rPr>
      </w:pPr>
      <w:r>
        <w:rPr>
          <w:rFonts w:ascii="Arial" w:cs="Arial" w:eastAsia="Arial" w:hAnsi="Arial"/>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634365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sectPr>
      </w:pPr>
    </w:p>
    <w:bookmarkStart w:id="1" w:name="page2"/>
    <w:bookmarkEnd w:id="1"/>
    <w:p>
      <w:pPr>
        <w:jc w:val="both"/>
        <w:spacing w:after="0" w:line="282" w:lineRule="auto"/>
        <w:rPr>
          <w:sz w:val="20"/>
          <w:szCs w:val="20"/>
          <w:color w:val="auto"/>
        </w:rPr>
      </w:pPr>
      <w:r>
        <w:rPr>
          <w:rFonts w:ascii="Arial" w:cs="Arial" w:eastAsia="Arial" w:hAnsi="Arial"/>
          <w:sz w:val="18"/>
          <w:szCs w:val="18"/>
          <w:b w:val="1"/>
          <w:bCs w:val="1"/>
          <w:color w:val="auto"/>
        </w:rPr>
        <w:t>Item 5.02 Departure of Directors or Certain Officers; Election of Directors; Appointment of Certain Officers; Compensatory Arrangements of Certain Officers.</w:t>
      </w:r>
    </w:p>
    <w:p>
      <w:pPr>
        <w:spacing w:after="0" w:line="166" w:lineRule="exact"/>
        <w:rPr>
          <w:sz w:val="20"/>
          <w:szCs w:val="20"/>
          <w:color w:val="auto"/>
        </w:rPr>
      </w:pPr>
    </w:p>
    <w:p>
      <w:pPr>
        <w:jc w:val="both"/>
        <w:spacing w:after="0" w:line="286" w:lineRule="auto"/>
        <w:rPr>
          <w:sz w:val="20"/>
          <w:szCs w:val="20"/>
          <w:color w:val="auto"/>
        </w:rPr>
      </w:pPr>
      <w:r>
        <w:rPr>
          <w:rFonts w:ascii="Arial" w:cs="Arial" w:eastAsia="Arial" w:hAnsi="Arial"/>
          <w:sz w:val="17"/>
          <w:szCs w:val="17"/>
          <w:color w:val="auto"/>
        </w:rPr>
        <w:t>On July 27, 2023, Cheng Lu Min Huay and Yih-Yu (“Grace”) Lei resigned as members of the board of directors of Nocera, Inc. (the “Company”) Neither director’s resignation was the result of any disagreement with the Company on any matter relating to the Company’s operations, policies or practices. The Company’s board of directors is actively interviewing several candidates to serve as an independent member of the board of directors.</w:t>
      </w:r>
    </w:p>
    <w:p>
      <w:pPr>
        <w:spacing w:after="0" w:line="165" w:lineRule="exact"/>
        <w:rPr>
          <w:sz w:val="20"/>
          <w:szCs w:val="20"/>
          <w:color w:val="auto"/>
        </w:rPr>
      </w:pPr>
    </w:p>
    <w:p>
      <w:pPr>
        <w:jc w:val="both"/>
        <w:spacing w:after="0" w:line="263" w:lineRule="auto"/>
        <w:rPr>
          <w:sz w:val="20"/>
          <w:szCs w:val="20"/>
          <w:color w:val="auto"/>
        </w:rPr>
      </w:pPr>
      <w:r>
        <w:rPr>
          <w:rFonts w:ascii="Arial" w:cs="Arial" w:eastAsia="Arial" w:hAnsi="Arial"/>
          <w:sz w:val="18"/>
          <w:szCs w:val="18"/>
          <w:color w:val="auto"/>
        </w:rPr>
        <w:t>On July 27, 2023, David Yu-Lung Kou resigned as the Acting Chief Executive Officer of the Company. Mr. Kou’s resignation was not a result of any disagreement with the Company on any matter relating to the Company’s operations, policies or practices. The Company’s board of directors is actively interviewing several candidates to serve as the Chief Executive Officer of the Company.</w:t>
      </w:r>
    </w:p>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SIGNATURES</w:t>
      </w:r>
    </w:p>
    <w:p>
      <w:pPr>
        <w:spacing w:after="0" w:line="229" w:lineRule="exact"/>
        <w:rPr>
          <w:sz w:val="20"/>
          <w:szCs w:val="20"/>
          <w:color w:val="auto"/>
        </w:rPr>
      </w:pPr>
    </w:p>
    <w:p>
      <w:pPr>
        <w:ind w:right="320" w:firstLine="648"/>
        <w:spacing w:after="0" w:line="277" w:lineRule="auto"/>
        <w:rPr>
          <w:sz w:val="20"/>
          <w:szCs w:val="20"/>
          <w:color w:val="auto"/>
        </w:rPr>
      </w:pPr>
      <w:r>
        <w:rPr>
          <w:rFonts w:ascii="Arial" w:cs="Arial" w:eastAsia="Arial" w:hAnsi="Arial"/>
          <w:sz w:val="18"/>
          <w:szCs w:val="18"/>
          <w:color w:val="auto"/>
        </w:rPr>
        <w:t>Pursuant to the requirements of the Securities Exchange Act of 1934, the registrant has duly caused this report to be signed on its behalf by the undersigned hereunto duly authorized.</w:t>
      </w:r>
    </w:p>
    <w:p>
      <w:pPr>
        <w:spacing w:after="0" w:line="382" w:lineRule="exact"/>
        <w:rPr>
          <w:sz w:val="20"/>
          <w:szCs w:val="20"/>
          <w:color w:val="auto"/>
        </w:rPr>
      </w:pPr>
    </w:p>
    <w:tbl>
      <w:tblPr>
        <w:tblLayout w:type="fixed"/>
        <w:tblInd w:w="0" w:type="dxa"/>
        <w:tblCellMar>
          <w:top w:w="0" w:type="dxa"/>
          <w:left w:w="0" w:type="dxa"/>
          <w:bottom w:w="0" w:type="dxa"/>
          <w:right w:w="0" w:type="dxa"/>
        </w:tblCellMar>
      </w:tblPr>
      <w:tr>
        <w:trPr>
          <w:trHeight w:val="234"/>
        </w:trPr>
        <w:tc>
          <w:tcPr>
            <w:tcW w:w="3520" w:type="dxa"/>
            <w:vAlign w:val="bottom"/>
          </w:tcPr>
          <w:p>
            <w:pPr>
              <w:spacing w:after="0"/>
              <w:rPr>
                <w:sz w:val="20"/>
                <w:szCs w:val="20"/>
                <w:color w:val="auto"/>
              </w:rPr>
            </w:pPr>
          </w:p>
        </w:tc>
        <w:tc>
          <w:tcPr>
            <w:tcW w:w="5320" w:type="dxa"/>
            <w:vAlign w:val="bottom"/>
            <w:gridSpan w:val="3"/>
          </w:tcPr>
          <w:p>
            <w:pPr>
              <w:ind w:left="2100"/>
              <w:spacing w:after="0"/>
              <w:rPr>
                <w:sz w:val="20"/>
                <w:szCs w:val="20"/>
                <w:color w:val="auto"/>
              </w:rPr>
            </w:pPr>
            <w:r>
              <w:rPr>
                <w:rFonts w:ascii="Arial" w:cs="Arial" w:eastAsia="Arial" w:hAnsi="Arial"/>
                <w:sz w:val="18"/>
                <w:szCs w:val="18"/>
                <w:b w:val="1"/>
                <w:bCs w:val="1"/>
                <w:color w:val="auto"/>
              </w:rPr>
              <w:t>NOCERA, INC.</w:t>
            </w:r>
          </w:p>
        </w:tc>
      </w:tr>
      <w:tr>
        <w:trPr>
          <w:trHeight w:val="392"/>
        </w:trPr>
        <w:tc>
          <w:tcPr>
            <w:tcW w:w="3520" w:type="dxa"/>
            <w:vAlign w:val="bottom"/>
          </w:tcPr>
          <w:p>
            <w:pPr>
              <w:spacing w:after="0"/>
              <w:rPr>
                <w:sz w:val="20"/>
                <w:szCs w:val="20"/>
                <w:color w:val="auto"/>
              </w:rPr>
            </w:pPr>
            <w:r>
              <w:rPr>
                <w:rFonts w:ascii="Arial" w:cs="Arial" w:eastAsia="Arial" w:hAnsi="Arial"/>
                <w:sz w:val="18"/>
                <w:szCs w:val="18"/>
                <w:color w:val="auto"/>
              </w:rPr>
              <w:t>Date: July 28, 2023</w:t>
            </w:r>
          </w:p>
        </w:tc>
        <w:tc>
          <w:tcPr>
            <w:tcW w:w="5320" w:type="dxa"/>
            <w:vAlign w:val="bottom"/>
            <w:gridSpan w:val="3"/>
          </w:tcPr>
          <w:p>
            <w:pPr>
              <w:ind w:left="2100"/>
              <w:spacing w:after="0"/>
              <w:rPr>
                <w:sz w:val="20"/>
                <w:szCs w:val="20"/>
                <w:color w:val="auto"/>
              </w:rPr>
            </w:pPr>
            <w:r>
              <w:rPr>
                <w:rFonts w:ascii="Arial" w:cs="Arial" w:eastAsia="Arial" w:hAnsi="Arial"/>
                <w:sz w:val="18"/>
                <w:szCs w:val="18"/>
                <w:color w:val="auto"/>
              </w:rPr>
              <w:t xml:space="preserve">By: </w:t>
            </w:r>
            <w:r>
              <w:rPr>
                <w:rFonts w:ascii="Arial" w:cs="Arial" w:eastAsia="Arial" w:hAnsi="Arial"/>
                <w:sz w:val="18"/>
                <w:szCs w:val="18"/>
                <w:i w:val="1"/>
                <w:iCs w:val="1"/>
                <w:color w:val="auto"/>
              </w:rPr>
              <w:t>/s/ Shun-Chih Chuang</w:t>
            </w:r>
          </w:p>
        </w:tc>
      </w:tr>
      <w:tr>
        <w:trPr>
          <w:trHeight w:val="20"/>
        </w:trPr>
        <w:tc>
          <w:tcPr>
            <w:tcW w:w="3520" w:type="dxa"/>
            <w:vAlign w:val="bottom"/>
          </w:tcPr>
          <w:p>
            <w:pPr>
              <w:spacing w:after="0" w:line="20" w:lineRule="exact"/>
              <w:rPr>
                <w:sz w:val="1"/>
                <w:szCs w:val="1"/>
                <w:color w:val="auto"/>
              </w:rPr>
            </w:pPr>
          </w:p>
        </w:tc>
        <w:tc>
          <w:tcPr>
            <w:tcW w:w="2400" w:type="dxa"/>
            <w:vAlign w:val="bottom"/>
          </w:tcPr>
          <w:p>
            <w:pPr>
              <w:spacing w:after="0" w:line="20" w:lineRule="exact"/>
              <w:rPr>
                <w:sz w:val="1"/>
                <w:szCs w:val="1"/>
                <w:color w:val="auto"/>
              </w:rPr>
            </w:pPr>
          </w:p>
        </w:tc>
        <w:tc>
          <w:tcPr>
            <w:tcW w:w="1600" w:type="dxa"/>
            <w:vAlign w:val="bottom"/>
            <w:shd w:val="clear" w:color="auto" w:fill="000000"/>
          </w:tcPr>
          <w:p>
            <w:pPr>
              <w:spacing w:after="0" w:line="20" w:lineRule="exact"/>
              <w:rPr>
                <w:sz w:val="1"/>
                <w:szCs w:val="1"/>
                <w:color w:val="auto"/>
              </w:rPr>
            </w:pPr>
          </w:p>
        </w:tc>
        <w:tc>
          <w:tcPr>
            <w:tcW w:w="1320" w:type="dxa"/>
            <w:vAlign w:val="bottom"/>
          </w:tcPr>
          <w:p>
            <w:pPr>
              <w:spacing w:after="0" w:line="20" w:lineRule="exact"/>
              <w:rPr>
                <w:sz w:val="1"/>
                <w:szCs w:val="1"/>
                <w:color w:val="auto"/>
              </w:rPr>
            </w:pPr>
          </w:p>
        </w:tc>
      </w:tr>
      <w:tr>
        <w:trPr>
          <w:trHeight w:val="222"/>
        </w:trPr>
        <w:tc>
          <w:tcPr>
            <w:tcW w:w="3520" w:type="dxa"/>
            <w:vAlign w:val="bottom"/>
          </w:tcPr>
          <w:p>
            <w:pPr>
              <w:spacing w:after="0"/>
              <w:rPr>
                <w:sz w:val="19"/>
                <w:szCs w:val="19"/>
                <w:color w:val="auto"/>
              </w:rPr>
            </w:pPr>
          </w:p>
        </w:tc>
        <w:tc>
          <w:tcPr>
            <w:tcW w:w="5320" w:type="dxa"/>
            <w:vAlign w:val="bottom"/>
            <w:gridSpan w:val="3"/>
          </w:tcPr>
          <w:p>
            <w:pPr>
              <w:ind w:left="2100"/>
              <w:spacing w:after="0"/>
              <w:rPr>
                <w:sz w:val="20"/>
                <w:szCs w:val="20"/>
                <w:color w:val="auto"/>
              </w:rPr>
            </w:pPr>
            <w:r>
              <w:rPr>
                <w:rFonts w:ascii="Arial" w:cs="Arial" w:eastAsia="Arial" w:hAnsi="Arial"/>
                <w:sz w:val="18"/>
                <w:szCs w:val="18"/>
                <w:color w:val="auto"/>
              </w:rPr>
              <w:t>Name: Shun-Chih (Jimmy) Chuang</w:t>
            </w:r>
          </w:p>
        </w:tc>
      </w:tr>
      <w:tr>
        <w:trPr>
          <w:trHeight w:val="216"/>
        </w:trPr>
        <w:tc>
          <w:tcPr>
            <w:tcW w:w="3520" w:type="dxa"/>
            <w:vAlign w:val="bottom"/>
          </w:tcPr>
          <w:p>
            <w:pPr>
              <w:spacing w:after="0"/>
              <w:rPr>
                <w:sz w:val="18"/>
                <w:szCs w:val="18"/>
                <w:color w:val="auto"/>
              </w:rPr>
            </w:pPr>
          </w:p>
        </w:tc>
        <w:tc>
          <w:tcPr>
            <w:tcW w:w="5320" w:type="dxa"/>
            <w:vAlign w:val="bottom"/>
            <w:gridSpan w:val="3"/>
          </w:tcPr>
          <w:p>
            <w:pPr>
              <w:ind w:left="2100"/>
              <w:spacing w:after="0"/>
              <w:rPr>
                <w:sz w:val="20"/>
                <w:szCs w:val="20"/>
                <w:color w:val="auto"/>
              </w:rPr>
            </w:pPr>
            <w:r>
              <w:rPr>
                <w:rFonts w:ascii="Arial" w:cs="Arial" w:eastAsia="Arial" w:hAnsi="Arial"/>
                <w:sz w:val="18"/>
                <w:szCs w:val="18"/>
                <w:color w:val="auto"/>
              </w:rPr>
              <w:t>Title: Chief Financial Officer</w:t>
            </w:r>
          </w:p>
        </w:tc>
      </w:tr>
      <w:tr>
        <w:trPr>
          <w:trHeight w:val="230"/>
        </w:trPr>
        <w:tc>
          <w:tcPr>
            <w:tcW w:w="3520" w:type="dxa"/>
            <w:vAlign w:val="bottom"/>
          </w:tcPr>
          <w:p>
            <w:pPr>
              <w:spacing w:after="0"/>
              <w:rPr>
                <w:sz w:val="20"/>
                <w:szCs w:val="20"/>
                <w:color w:val="auto"/>
              </w:rPr>
            </w:pPr>
          </w:p>
        </w:tc>
        <w:tc>
          <w:tcPr>
            <w:tcW w:w="5320" w:type="dxa"/>
            <w:vAlign w:val="bottom"/>
            <w:gridSpan w:val="3"/>
          </w:tcPr>
          <w:p>
            <w:pPr>
              <w:ind w:left="2100"/>
              <w:spacing w:after="0"/>
              <w:rPr>
                <w:sz w:val="20"/>
                <w:szCs w:val="20"/>
                <w:color w:val="auto"/>
              </w:rPr>
            </w:pPr>
            <w:r>
              <w:rPr>
                <w:rFonts w:ascii="Arial" w:cs="Arial" w:eastAsia="Arial" w:hAnsi="Arial"/>
                <w:sz w:val="18"/>
                <w:szCs w:val="18"/>
                <w:color w:val="auto"/>
                <w:w w:val="92"/>
              </w:rPr>
              <w:t>(Principal Financial and Accounting Officer)</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6" w:lineRule="exact"/>
        <w:rPr>
          <w:sz w:val="20"/>
          <w:szCs w:val="20"/>
          <w:color w:val="auto"/>
        </w:rPr>
      </w:pPr>
    </w:p>
    <w:p>
      <w:pPr>
        <w:jc w:val="center"/>
        <w:spacing w:after="0"/>
        <w:rPr>
          <w:sz w:val="20"/>
          <w:szCs w:val="20"/>
          <w:color w:val="auto"/>
        </w:rPr>
      </w:pPr>
      <w:r>
        <w:rPr>
          <w:rFonts w:ascii="Arial" w:cs="Arial" w:eastAsia="Arial" w:hAnsi="Arial"/>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14605</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sectPr>
      <w:pgSz w:w="11900" w:h="16838" w:orient="portrait"/>
      <w:cols w:equalWidth="0" w:num="1">
        <w:col w:w="11240"/>
      </w:cols>
      <w:pgMar w:left="320" w:top="1012"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2023-07-28T14:43:45Z</dcterms:created>
  <dcterms:modified xsi:type="dcterms:W3CDTF">2023-07-28T14:43:45Z</dcterms:modified>
</cp:coreProperties>
</file>